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2B620">
      <w:pPr>
        <w:pStyle w:val="3"/>
        <w:ind w:firstLine="3080" w:firstLineChars="700"/>
        <w:rPr>
          <w:kern w:val="2"/>
          <w:sz w:val="28"/>
          <w:szCs w:val="28"/>
          <w:highlight w:val="none"/>
          <w:u w:val="none"/>
        </w:rPr>
      </w:pPr>
      <w:bookmarkStart w:id="0" w:name="_Toc28359011"/>
      <w:bookmarkStart w:id="1" w:name="_Toc35393797"/>
      <w:bookmarkStart w:id="2" w:name="_Toc39926506"/>
      <w:r>
        <w:rPr>
          <w:rFonts w:hint="eastAsia"/>
          <w:u w:val="none"/>
        </w:rPr>
        <w:t xml:space="preserve"> </w:t>
      </w:r>
      <w:r>
        <w:rPr>
          <w:rFonts w:hint="eastAsia"/>
          <w:highlight w:val="none"/>
          <w:u w:val="none"/>
        </w:rPr>
        <w:t>询价</w:t>
      </w:r>
      <w:bookmarkEnd w:id="0"/>
      <w:bookmarkEnd w:id="1"/>
      <w:r>
        <w:rPr>
          <w:rFonts w:hint="eastAsia"/>
          <w:highlight w:val="none"/>
          <w:u w:val="none"/>
        </w:rPr>
        <w:t>通知书</w:t>
      </w:r>
      <w:bookmarkStart w:id="3" w:name="_Toc35393629"/>
      <w:bookmarkStart w:id="4" w:name="_Toc35393798"/>
      <w:bookmarkStart w:id="5" w:name="_Toc28359012"/>
      <w:bookmarkStart w:id="6" w:name="_Toc28359089"/>
    </w:p>
    <w:p w14:paraId="6B595E49">
      <w:pPr>
        <w:pageBreakBefore w:val="0"/>
        <w:kinsoku/>
        <w:wordWrap/>
        <w:overflowPunct/>
        <w:topLinePunct w:val="0"/>
        <w:bidi w:val="0"/>
        <w:spacing w:line="400" w:lineRule="exact"/>
        <w:ind w:left="0" w:leftChars="0" w:firstLine="281" w:firstLineChars="100"/>
        <w:rPr>
          <w:rFonts w:hint="eastAsia" w:ascii="仿宋" w:hAnsi="仿宋" w:eastAsia="仿宋" w:cs="仿宋"/>
          <w:highlight w:val="none"/>
          <w:u w:val="none"/>
        </w:rPr>
      </w:pPr>
      <w:r>
        <w:rPr>
          <w:rFonts w:hint="eastAsia" w:ascii="仿宋" w:hAnsi="仿宋" w:eastAsia="仿宋" w:cs="仿宋"/>
          <w:highlight w:val="none"/>
          <w:u w:val="none"/>
        </w:rPr>
        <w:t>溧水区人民医院</w:t>
      </w:r>
      <w:r>
        <w:rPr>
          <w:rFonts w:hint="eastAsia" w:cs="仿宋"/>
          <w:highlight w:val="none"/>
          <w:u w:val="none"/>
          <w:lang w:eastAsia="zh-CN"/>
        </w:rPr>
        <w:t>充电宝</w:t>
      </w:r>
      <w:r>
        <w:rPr>
          <w:rFonts w:hint="eastAsia" w:ascii="仿宋" w:hAnsi="仿宋" w:eastAsia="仿宋" w:cs="仿宋"/>
          <w:highlight w:val="none"/>
          <w:u w:val="none"/>
        </w:rPr>
        <w:t>项目的潜在供应商应在溧水区人民医院官网获取采购文件，并于2024年</w:t>
      </w:r>
      <w:r>
        <w:rPr>
          <w:rFonts w:hint="eastAsia" w:cs="仿宋"/>
          <w:highlight w:val="none"/>
          <w:u w:val="none"/>
          <w:lang w:val="en-US" w:eastAsia="zh-CN"/>
        </w:rPr>
        <w:t>7</w:t>
      </w:r>
      <w:r>
        <w:rPr>
          <w:rFonts w:hint="eastAsia" w:ascii="仿宋" w:hAnsi="仿宋" w:eastAsia="仿宋" w:cs="仿宋"/>
          <w:highlight w:val="none"/>
          <w:u w:val="none"/>
        </w:rPr>
        <w:t>月</w:t>
      </w:r>
      <w:r>
        <w:rPr>
          <w:rFonts w:hint="eastAsia" w:cs="仿宋"/>
          <w:highlight w:val="none"/>
          <w:u w:val="none"/>
          <w:lang w:val="en-US" w:eastAsia="zh-CN"/>
        </w:rPr>
        <w:t>4</w:t>
      </w:r>
      <w:r>
        <w:rPr>
          <w:rFonts w:hint="eastAsia" w:ascii="仿宋" w:hAnsi="仿宋" w:eastAsia="仿宋" w:cs="仿宋"/>
          <w:highlight w:val="none"/>
          <w:u w:val="none"/>
        </w:rPr>
        <w:t>日</w:t>
      </w:r>
      <w:r>
        <w:rPr>
          <w:rFonts w:hint="eastAsia" w:cs="仿宋"/>
          <w:highlight w:val="none"/>
          <w:u w:val="none"/>
          <w:lang w:val="en-US" w:eastAsia="zh-CN"/>
        </w:rPr>
        <w:t>14</w:t>
      </w:r>
      <w:r>
        <w:rPr>
          <w:rFonts w:hint="eastAsia" w:ascii="仿宋" w:hAnsi="仿宋" w:eastAsia="仿宋" w:cs="仿宋"/>
          <w:highlight w:val="none"/>
          <w:u w:val="none"/>
        </w:rPr>
        <w:t>点</w:t>
      </w:r>
      <w:r>
        <w:rPr>
          <w:rFonts w:hint="eastAsia" w:cs="仿宋"/>
          <w:highlight w:val="none"/>
          <w:u w:val="none"/>
          <w:lang w:val="en-US" w:eastAsia="zh-CN"/>
        </w:rPr>
        <w:t>20</w:t>
      </w:r>
      <w:r>
        <w:rPr>
          <w:rFonts w:hint="eastAsia" w:ascii="仿宋" w:hAnsi="仿宋" w:eastAsia="仿宋" w:cs="仿宋"/>
          <w:highlight w:val="none"/>
          <w:u w:val="none"/>
        </w:rPr>
        <w:t>分（北京时间）前提交响应文件。</w:t>
      </w:r>
    </w:p>
    <w:p w14:paraId="7D7E1F85">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p>
    <w:p w14:paraId="5B88FC39">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一、项目基本情况</w:t>
      </w:r>
      <w:bookmarkEnd w:id="3"/>
      <w:bookmarkEnd w:id="4"/>
      <w:bookmarkEnd w:id="5"/>
      <w:bookmarkEnd w:id="6"/>
    </w:p>
    <w:p w14:paraId="5B4551E7">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项目编号：</w:t>
      </w:r>
      <w:r>
        <w:rPr>
          <w:rFonts w:hint="eastAsia" w:ascii="仿宋" w:hAnsi="仿宋" w:eastAsia="仿宋" w:cs="仿宋"/>
          <w:b w:val="0"/>
          <w:bCs w:val="0"/>
          <w:color w:val="000000"/>
          <w:kern w:val="0"/>
          <w:sz w:val="28"/>
          <w:szCs w:val="28"/>
          <w:highlight w:val="none"/>
          <w:u w:val="none"/>
          <w:lang w:val="en-US" w:eastAsia="zh-CN"/>
        </w:rPr>
        <w:t>LSRY-ZB2024-</w:t>
      </w:r>
      <w:r>
        <w:rPr>
          <w:rFonts w:hint="eastAsia" w:cs="仿宋"/>
          <w:b w:val="0"/>
          <w:bCs w:val="0"/>
          <w:color w:val="000000"/>
          <w:kern w:val="0"/>
          <w:sz w:val="28"/>
          <w:szCs w:val="28"/>
          <w:highlight w:val="none"/>
          <w:u w:val="none"/>
          <w:lang w:val="en-US" w:eastAsia="zh-CN"/>
        </w:rPr>
        <w:t>Z002</w:t>
      </w:r>
    </w:p>
    <w:p w14:paraId="10A1F61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项目名称：</w:t>
      </w:r>
      <w:r>
        <w:rPr>
          <w:rFonts w:hint="eastAsia" w:ascii="仿宋" w:hAnsi="仿宋" w:eastAsia="仿宋" w:cs="仿宋"/>
          <w:b w:val="0"/>
          <w:bCs w:val="0"/>
          <w:color w:val="000000"/>
          <w:kern w:val="0"/>
          <w:sz w:val="28"/>
          <w:szCs w:val="28"/>
          <w:highlight w:val="none"/>
          <w:u w:val="none"/>
          <w:lang w:val="en-US" w:eastAsia="zh-CN"/>
        </w:rPr>
        <w:t>溧水区人民医院</w:t>
      </w:r>
      <w:r>
        <w:rPr>
          <w:rFonts w:hint="eastAsia" w:cs="仿宋"/>
          <w:b w:val="0"/>
          <w:bCs w:val="0"/>
          <w:color w:val="000000"/>
          <w:kern w:val="0"/>
          <w:sz w:val="28"/>
          <w:szCs w:val="28"/>
          <w:highlight w:val="none"/>
          <w:u w:val="none"/>
          <w:lang w:val="en-US" w:eastAsia="zh-CN"/>
        </w:rPr>
        <w:t>充电宝</w:t>
      </w:r>
      <w:r>
        <w:rPr>
          <w:rFonts w:hint="eastAsia" w:ascii="仿宋" w:hAnsi="仿宋" w:eastAsia="仿宋" w:cs="仿宋"/>
          <w:b w:val="0"/>
          <w:bCs w:val="0"/>
          <w:color w:val="000000"/>
          <w:kern w:val="0"/>
          <w:sz w:val="28"/>
          <w:szCs w:val="28"/>
          <w:highlight w:val="none"/>
          <w:u w:val="none"/>
          <w:lang w:val="en-US" w:eastAsia="zh-CN"/>
        </w:rPr>
        <w:t>项目</w:t>
      </w:r>
    </w:p>
    <w:p w14:paraId="4662817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采购方式：</w:t>
      </w:r>
      <w:r>
        <w:rPr>
          <w:rFonts w:hint="eastAsia" w:ascii="仿宋" w:hAnsi="仿宋" w:eastAsia="仿宋" w:cs="仿宋"/>
          <w:b w:val="0"/>
          <w:bCs w:val="0"/>
          <w:color w:val="000000"/>
          <w:kern w:val="0"/>
          <w:sz w:val="28"/>
          <w:szCs w:val="28"/>
          <w:highlight w:val="none"/>
          <w:u w:val="none"/>
          <w:lang w:val="en-US" w:eastAsia="zh-CN"/>
        </w:rPr>
        <w:t>询价</w:t>
      </w:r>
    </w:p>
    <w:p w14:paraId="46BDA83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cs="仿宋"/>
          <w:b/>
          <w:bCs/>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最</w:t>
      </w:r>
      <w:r>
        <w:rPr>
          <w:rFonts w:hint="eastAsia" w:cs="仿宋"/>
          <w:b/>
          <w:bCs/>
          <w:color w:val="000000"/>
          <w:kern w:val="0"/>
          <w:sz w:val="28"/>
          <w:szCs w:val="28"/>
          <w:highlight w:val="none"/>
          <w:u w:val="none"/>
          <w:lang w:val="en-US" w:eastAsia="zh-CN"/>
        </w:rPr>
        <w:t>低</w:t>
      </w:r>
      <w:r>
        <w:rPr>
          <w:rFonts w:hint="eastAsia" w:ascii="仿宋" w:hAnsi="仿宋" w:eastAsia="仿宋" w:cs="仿宋"/>
          <w:b/>
          <w:bCs/>
          <w:color w:val="000000"/>
          <w:kern w:val="0"/>
          <w:sz w:val="28"/>
          <w:szCs w:val="28"/>
          <w:highlight w:val="none"/>
          <w:u w:val="none"/>
          <w:lang w:val="en-US" w:eastAsia="zh-CN"/>
        </w:rPr>
        <w:t>限价</w:t>
      </w:r>
      <w:r>
        <w:rPr>
          <w:rFonts w:hint="eastAsia" w:cs="仿宋"/>
          <w:b/>
          <w:bCs/>
          <w:color w:val="000000"/>
          <w:kern w:val="0"/>
          <w:sz w:val="28"/>
          <w:szCs w:val="28"/>
          <w:highlight w:val="none"/>
          <w:u w:val="none"/>
          <w:lang w:val="en-US" w:eastAsia="zh-CN"/>
        </w:rPr>
        <w:t>（电力成本）</w:t>
      </w:r>
      <w:r>
        <w:rPr>
          <w:rFonts w:hint="eastAsia" w:ascii="仿宋" w:hAnsi="仿宋" w:eastAsia="仿宋" w:cs="仿宋"/>
          <w:b/>
          <w:bCs/>
          <w:color w:val="000000"/>
          <w:kern w:val="0"/>
          <w:sz w:val="28"/>
          <w:szCs w:val="28"/>
          <w:highlight w:val="none"/>
          <w:u w:val="none"/>
          <w:lang w:val="en-US" w:eastAsia="zh-CN"/>
        </w:rPr>
        <w:t>：</w:t>
      </w:r>
      <w:r>
        <w:rPr>
          <w:rFonts w:hint="eastAsia" w:cs="仿宋"/>
          <w:b/>
          <w:bCs/>
          <w:color w:val="000000"/>
          <w:kern w:val="0"/>
          <w:sz w:val="28"/>
          <w:szCs w:val="28"/>
          <w:highlight w:val="none"/>
          <w:u w:val="none"/>
          <w:lang w:val="en-US" w:eastAsia="zh-CN"/>
        </w:rPr>
        <w:t>1.8万元/年（低于此项报价将视为无效标）</w:t>
      </w:r>
      <w:bookmarkStart w:id="7" w:name="_Toc28359090"/>
      <w:bookmarkStart w:id="8" w:name="_Toc35393799"/>
      <w:bookmarkStart w:id="9" w:name="_Toc28359013"/>
      <w:bookmarkStart w:id="10" w:name="_Toc35393630"/>
    </w:p>
    <w:p w14:paraId="7679394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cs="仿宋"/>
          <w:b/>
          <w:bCs/>
          <w:color w:val="000000"/>
          <w:kern w:val="0"/>
          <w:sz w:val="28"/>
          <w:szCs w:val="28"/>
          <w:highlight w:val="none"/>
          <w:u w:val="none"/>
          <w:lang w:val="en-US" w:eastAsia="zh-CN"/>
        </w:rPr>
      </w:pPr>
      <w:r>
        <w:rPr>
          <w:rFonts w:hint="eastAsia" w:cs="仿宋"/>
          <w:b/>
          <w:bCs/>
          <w:color w:val="000000"/>
          <w:kern w:val="0"/>
          <w:sz w:val="28"/>
          <w:szCs w:val="28"/>
          <w:highlight w:val="none"/>
          <w:u w:val="none"/>
          <w:lang w:val="en-US" w:eastAsia="zh-CN"/>
        </w:rPr>
        <w:t>收费标准：≤1.25元/0.5小时（高于此项收费将视为无效标）</w:t>
      </w:r>
    </w:p>
    <w:p w14:paraId="6CFF9F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kern w:val="2"/>
          <w:sz w:val="28"/>
          <w:szCs w:val="28"/>
          <w:highlight w:val="none"/>
          <w:u w:val="none"/>
          <w:lang w:val="en-US" w:eastAsia="zh-CN" w:bidi="ar-SA"/>
        </w:rPr>
      </w:pPr>
      <w:r>
        <w:rPr>
          <w:rFonts w:hint="eastAsia" w:cs="仿宋"/>
          <w:b/>
          <w:bCs/>
          <w:kern w:val="2"/>
          <w:sz w:val="28"/>
          <w:szCs w:val="28"/>
          <w:highlight w:val="none"/>
          <w:u w:val="none"/>
          <w:lang w:val="en-US" w:eastAsia="zh-CN" w:bidi="ar-SA"/>
        </w:rPr>
        <w:t>服务期限：一招三年，合同一年一签</w:t>
      </w:r>
    </w:p>
    <w:p w14:paraId="5C1EB7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kern w:val="2"/>
          <w:sz w:val="28"/>
          <w:szCs w:val="28"/>
          <w:highlight w:val="none"/>
          <w:u w:val="none"/>
          <w:lang w:val="en-US" w:eastAsia="zh-CN" w:bidi="ar-SA"/>
        </w:rPr>
      </w:pPr>
      <w:r>
        <w:rPr>
          <w:rFonts w:hint="eastAsia" w:cs="仿宋"/>
          <w:b/>
          <w:bCs/>
          <w:kern w:val="2"/>
          <w:sz w:val="28"/>
          <w:szCs w:val="28"/>
          <w:highlight w:val="none"/>
          <w:u w:val="none"/>
          <w:lang w:val="en-US" w:eastAsia="zh-CN" w:bidi="ar-SA"/>
        </w:rPr>
        <w:t>付款方式：服务商于每年度服务期满前一个月预缴下一年度电力成本。</w:t>
      </w:r>
    </w:p>
    <w:p w14:paraId="14288E61">
      <w:pPr>
        <w:pageBreakBefore w:val="0"/>
        <w:kinsoku/>
        <w:wordWrap/>
        <w:overflowPunct/>
        <w:topLinePunct w:val="0"/>
        <w:bidi w:val="0"/>
        <w:spacing w:line="400" w:lineRule="exact"/>
        <w:ind w:left="0" w:leftChars="0" w:firstLine="281" w:firstLineChars="100"/>
        <w:rPr>
          <w:rFonts w:hint="default" w:cs="仿宋"/>
          <w:b/>
          <w:bCs/>
          <w:kern w:val="2"/>
          <w:sz w:val="28"/>
          <w:szCs w:val="28"/>
          <w:highlight w:val="none"/>
          <w:u w:val="none"/>
          <w:lang w:val="en-US" w:eastAsia="zh-CN" w:bidi="ar-SA"/>
        </w:rPr>
      </w:pPr>
    </w:p>
    <w:p w14:paraId="0C6DC817">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二、</w:t>
      </w:r>
      <w:r>
        <w:rPr>
          <w:rFonts w:hint="eastAsia" w:cs="仿宋"/>
          <w:b/>
          <w:bCs/>
          <w:kern w:val="2"/>
          <w:sz w:val="28"/>
          <w:szCs w:val="28"/>
          <w:highlight w:val="none"/>
          <w:u w:val="none"/>
          <w:lang w:val="en-US" w:eastAsia="zh-CN" w:bidi="ar-SA"/>
        </w:rPr>
        <w:t>服务</w:t>
      </w:r>
      <w:r>
        <w:rPr>
          <w:rFonts w:hint="eastAsia" w:ascii="仿宋" w:hAnsi="仿宋" w:eastAsia="仿宋" w:cs="仿宋"/>
          <w:b/>
          <w:bCs/>
          <w:kern w:val="2"/>
          <w:sz w:val="28"/>
          <w:szCs w:val="28"/>
          <w:highlight w:val="none"/>
          <w:u w:val="none"/>
          <w:lang w:val="en-US" w:eastAsia="zh-CN" w:bidi="ar-SA"/>
        </w:rPr>
        <w:t>内容及要求</w:t>
      </w:r>
      <w:r>
        <w:rPr>
          <w:rFonts w:hint="eastAsia" w:cs="仿宋"/>
          <w:b/>
          <w:bCs/>
          <w:kern w:val="2"/>
          <w:sz w:val="28"/>
          <w:szCs w:val="28"/>
          <w:highlight w:val="none"/>
          <w:u w:val="none"/>
          <w:lang w:val="en-US" w:eastAsia="zh-CN" w:bidi="ar-SA"/>
        </w:rPr>
        <w:t>（请逐条填写《服务条款响应偏离表》）</w:t>
      </w:r>
    </w:p>
    <w:p w14:paraId="22CA78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val="0"/>
          <w:bCs w:val="0"/>
          <w:color w:val="000000"/>
          <w:kern w:val="0"/>
          <w:sz w:val="28"/>
          <w:szCs w:val="28"/>
          <w:highlight w:val="none"/>
          <w:u w:val="none"/>
          <w:lang w:val="en-US" w:eastAsia="zh-CN"/>
        </w:rPr>
        <w:t>1.具有相关行业营业执照。</w:t>
      </w:r>
    </w:p>
    <w:p w14:paraId="567278C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val="0"/>
          <w:bCs w:val="0"/>
          <w:color w:val="000000"/>
          <w:kern w:val="0"/>
          <w:sz w:val="28"/>
          <w:szCs w:val="28"/>
          <w:highlight w:val="none"/>
          <w:u w:val="none"/>
          <w:lang w:val="en-US" w:eastAsia="zh-CN"/>
        </w:rPr>
        <w:t>2.服务内容为供应商提供相关设备，暂按4大（24口20盒）1小（6口5盒）充电设备配置</w:t>
      </w:r>
      <w:r>
        <w:rPr>
          <w:rFonts w:hint="eastAsia" w:cs="仿宋"/>
          <w:b w:val="0"/>
          <w:bCs w:val="0"/>
          <w:color w:val="000000"/>
          <w:kern w:val="0"/>
          <w:sz w:val="28"/>
          <w:szCs w:val="28"/>
          <w:highlight w:val="none"/>
          <w:u w:val="none"/>
          <w:lang w:val="en-US" w:eastAsia="zh-CN"/>
        </w:rPr>
        <w:t>（如后期涉及到新增）</w:t>
      </w:r>
      <w:r>
        <w:rPr>
          <w:rFonts w:hint="eastAsia" w:ascii="仿宋" w:hAnsi="仿宋" w:eastAsia="仿宋" w:cs="仿宋"/>
          <w:b w:val="0"/>
          <w:bCs w:val="0"/>
          <w:color w:val="000000"/>
          <w:kern w:val="0"/>
          <w:sz w:val="28"/>
          <w:szCs w:val="28"/>
          <w:highlight w:val="none"/>
          <w:u w:val="none"/>
          <w:lang w:val="en-US" w:eastAsia="zh-CN"/>
        </w:rPr>
        <w:t>，承担电力成本。具体场地安置点为急诊大厅、门诊大厅、住院部大厅、检验科候诊厅、发热门诊，设备由供应商负责安装到位并进行日常运行管理维护。设备符合国家相关制造标准和规范，具备产品合格证或质量安全证书。乙方收费标准不超过1.25元/0.5小时。</w:t>
      </w:r>
    </w:p>
    <w:p w14:paraId="78978D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val="0"/>
          <w:bCs w:val="0"/>
          <w:color w:val="000000"/>
          <w:kern w:val="0"/>
          <w:sz w:val="28"/>
          <w:szCs w:val="28"/>
          <w:highlight w:val="none"/>
          <w:u w:val="none"/>
          <w:lang w:val="en-US" w:eastAsia="zh-CN"/>
        </w:rPr>
        <w:t>3.甲方无义务保管乙方设备，乙方负责处理设备故障报修、丢失、计费等问题，产生的工单投诉等由乙方负责解释。乙方每半个月给基建办一次安全巡查记录，巡检一周三次。合作期间若因设备及经营等原因所造成财产损失或人身伤害，均由供应商承担全部责任并赔偿损失。</w:t>
      </w:r>
    </w:p>
    <w:p w14:paraId="24D7A00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val="0"/>
          <w:bCs w:val="0"/>
          <w:color w:val="000000"/>
          <w:kern w:val="0"/>
          <w:sz w:val="28"/>
          <w:szCs w:val="28"/>
          <w:highlight w:val="none"/>
          <w:u w:val="none"/>
          <w:lang w:val="en-US" w:eastAsia="zh-CN"/>
        </w:rPr>
        <w:t>4.甲乙双方对各自的品牌、商标、标志等拥有专有权。甲乙双方在使用对方的品牌、商标、标志前，需经对方书面授权。</w:t>
      </w:r>
    </w:p>
    <w:p w14:paraId="0F4E3DA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val="0"/>
          <w:bCs w:val="0"/>
          <w:color w:val="000000"/>
          <w:kern w:val="0"/>
          <w:sz w:val="28"/>
          <w:szCs w:val="28"/>
          <w:highlight w:val="none"/>
          <w:u w:val="none"/>
          <w:lang w:val="en-US" w:eastAsia="zh-CN"/>
        </w:rPr>
        <w:t>5.乙方不允许加装充电宝以外的任何机器设备。</w:t>
      </w:r>
    </w:p>
    <w:p w14:paraId="361BC29F">
      <w:pPr>
        <w:pageBreakBefore w:val="0"/>
        <w:kinsoku/>
        <w:wordWrap/>
        <w:overflowPunct/>
        <w:topLinePunct w:val="0"/>
        <w:bidi w:val="0"/>
        <w:spacing w:line="400" w:lineRule="exact"/>
        <w:ind w:left="0" w:leftChars="0" w:firstLine="0" w:firstLineChars="0"/>
        <w:rPr>
          <w:rFonts w:hint="eastAsia" w:ascii="仿宋" w:hAnsi="仿宋" w:eastAsia="仿宋" w:cs="仿宋"/>
          <w:b/>
          <w:bCs/>
          <w:kern w:val="2"/>
          <w:sz w:val="28"/>
          <w:szCs w:val="28"/>
          <w:highlight w:val="none"/>
          <w:u w:val="none"/>
          <w:lang w:val="en-US" w:eastAsia="zh-CN" w:bidi="ar-SA"/>
        </w:rPr>
      </w:pPr>
    </w:p>
    <w:p w14:paraId="4A612AA8">
      <w:pPr>
        <w:pageBreakBefore w:val="0"/>
        <w:kinsoku/>
        <w:wordWrap/>
        <w:overflowPunct/>
        <w:topLinePunct w:val="0"/>
        <w:bidi w:val="0"/>
        <w:spacing w:line="400" w:lineRule="exact"/>
        <w:ind w:left="0" w:leftChars="0" w:firstLine="0" w:firstLineChars="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三、投标人资格要求</w:t>
      </w:r>
      <w:bookmarkEnd w:id="7"/>
      <w:bookmarkEnd w:id="8"/>
      <w:bookmarkEnd w:id="9"/>
      <w:bookmarkEnd w:id="10"/>
    </w:p>
    <w:bookmarkEnd w:id="2"/>
    <w:p w14:paraId="077B4E77">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bookmarkStart w:id="11" w:name="_Toc28359092"/>
      <w:bookmarkStart w:id="12" w:name="_Toc35393632"/>
      <w:bookmarkStart w:id="13" w:name="_Toc35393801"/>
      <w:bookmarkStart w:id="14" w:name="_Toc28359015"/>
      <w:r>
        <w:rPr>
          <w:rFonts w:hint="eastAsia" w:ascii="仿宋" w:hAnsi="仿宋" w:eastAsia="仿宋" w:cs="仿宋"/>
          <w:b w:val="0"/>
          <w:bCs w:val="0"/>
          <w:sz w:val="28"/>
          <w:szCs w:val="28"/>
          <w:highlight w:val="none"/>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613640EC">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（2）具有良好的商业信誉和健全的财务会计制度（提供参加本次政府采购活动前一年内（至少一个月）的会计报表）；</w:t>
      </w:r>
    </w:p>
    <w:p w14:paraId="25F60A9F">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（3）具有履行合同所必需的设备和专业技术能力（根据项目需求提供相应的专业设备说明、技术管理人员情况申明、专业技术资质等）；</w:t>
      </w:r>
    </w:p>
    <w:p w14:paraId="0FF1BC7D">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（4）有依法缴纳税收和社会保障资金的良好记录（提供参加政府采购活动前一年内至少一个月依法缴纳税收和社会保障资金的相关材料）；</w:t>
      </w:r>
    </w:p>
    <w:p w14:paraId="55162AED">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（5）参加政府采购活动前三年内，在经营活动中没有重大违法记录（提供参加政府采购活动前三年内在经营活动中没有重大违法记录的书面声明）；</w:t>
      </w:r>
    </w:p>
    <w:p w14:paraId="2582B025">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lang w:val="en-US" w:eastAsia="zh-CN"/>
        </w:rPr>
        <w:t>6</w:t>
      </w: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rPr>
        <w:t>南京市政府采购供应商信用记录表</w:t>
      </w:r>
      <w:r>
        <w:rPr>
          <w:rFonts w:hint="eastAsia" w:cs="仿宋"/>
          <w:b w:val="0"/>
          <w:bCs w:val="0"/>
          <w:sz w:val="28"/>
          <w:szCs w:val="28"/>
          <w:highlight w:val="none"/>
          <w:u w:val="none"/>
          <w:lang w:eastAsia="zh-CN"/>
        </w:rPr>
        <w:t>；</w:t>
      </w:r>
    </w:p>
    <w:p w14:paraId="25DF6C34">
      <w:pPr>
        <w:pageBreakBefore w:val="0"/>
        <w:kinsoku/>
        <w:wordWrap/>
        <w:overflowPunct/>
        <w:topLinePunct w:val="0"/>
        <w:bidi w:val="0"/>
        <w:spacing w:line="400" w:lineRule="exact"/>
        <w:ind w:firstLine="420"/>
        <w:rPr>
          <w:rFonts w:hint="eastAsia" w:ascii="仿宋" w:hAnsi="仿宋" w:eastAsia="仿宋" w:cs="仿宋"/>
          <w:b/>
          <w:bCs/>
          <w:sz w:val="28"/>
          <w:szCs w:val="28"/>
          <w:highlight w:val="none"/>
          <w:u w:val="single"/>
          <w:lang w:eastAsia="zh-CN"/>
        </w:rPr>
      </w:pPr>
      <w:r>
        <w:rPr>
          <w:rFonts w:hint="eastAsia" w:ascii="仿宋" w:hAnsi="仿宋" w:eastAsia="仿宋" w:cs="仿宋"/>
          <w:b w:val="0"/>
          <w:bCs w:val="0"/>
          <w:sz w:val="28"/>
          <w:szCs w:val="28"/>
          <w:highlight w:val="none"/>
          <w:u w:val="none"/>
        </w:rPr>
        <w:t>（</w:t>
      </w:r>
      <w:r>
        <w:rPr>
          <w:rFonts w:hint="eastAsia" w:cs="仿宋"/>
          <w:b w:val="0"/>
          <w:bCs w:val="0"/>
          <w:sz w:val="28"/>
          <w:szCs w:val="28"/>
          <w:highlight w:val="none"/>
          <w:u w:val="none"/>
          <w:lang w:val="en-US" w:eastAsia="zh-CN"/>
        </w:rPr>
        <w:t>7</w:t>
      </w:r>
      <w:r>
        <w:rPr>
          <w:rFonts w:hint="eastAsia" w:ascii="仿宋" w:hAnsi="仿宋" w:eastAsia="仿宋" w:cs="仿宋"/>
          <w:b w:val="0"/>
          <w:bCs w:val="0"/>
          <w:sz w:val="28"/>
          <w:szCs w:val="28"/>
          <w:highlight w:val="none"/>
          <w:u w:val="none"/>
        </w:rPr>
        <w:t>）</w:t>
      </w:r>
      <w:r>
        <w:rPr>
          <w:rFonts w:hint="eastAsia" w:ascii="仿宋" w:hAnsi="仿宋" w:eastAsia="仿宋" w:cs="仿宋"/>
          <w:b/>
          <w:bCs/>
          <w:sz w:val="28"/>
          <w:szCs w:val="28"/>
          <w:highlight w:val="none"/>
          <w:u w:val="single"/>
        </w:rPr>
        <w:t>与此项目相关的特定资质要求：</w:t>
      </w:r>
      <w:r>
        <w:rPr>
          <w:rFonts w:hint="eastAsia" w:cs="仿宋"/>
          <w:b/>
          <w:bCs/>
          <w:sz w:val="28"/>
          <w:szCs w:val="28"/>
          <w:highlight w:val="none"/>
          <w:u w:val="single"/>
          <w:lang w:eastAsia="zh-CN"/>
        </w:rPr>
        <w:t>无</w:t>
      </w:r>
    </w:p>
    <w:p w14:paraId="7D6D32A8">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sz w:val="28"/>
          <w:szCs w:val="28"/>
          <w:highlight w:val="none"/>
          <w:u w:val="none"/>
        </w:rPr>
      </w:pPr>
    </w:p>
    <w:p w14:paraId="59A2759B">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四、报名事宜</w:t>
      </w:r>
    </w:p>
    <w:p w14:paraId="4BE92C7E">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rPr>
        <w:t>请在</w:t>
      </w:r>
      <w:r>
        <w:rPr>
          <w:rFonts w:hint="eastAsia" w:cs="仿宋"/>
          <w:b/>
          <w:bCs/>
          <w:sz w:val="28"/>
          <w:szCs w:val="28"/>
          <w:highlight w:val="none"/>
          <w:u w:val="single"/>
          <w:lang w:val="en-US" w:eastAsia="zh-CN"/>
        </w:rPr>
        <w:t>2024年7月1日8:00-</w:t>
      </w:r>
      <w:r>
        <w:rPr>
          <w:rFonts w:hint="eastAsia" w:ascii="仿宋" w:hAnsi="仿宋" w:eastAsia="仿宋" w:cs="仿宋"/>
          <w:b/>
          <w:bCs/>
          <w:sz w:val="28"/>
          <w:szCs w:val="28"/>
          <w:highlight w:val="none"/>
          <w:u w:val="single"/>
        </w:rPr>
        <w:t>2024年</w:t>
      </w:r>
      <w:r>
        <w:rPr>
          <w:rFonts w:hint="eastAsia" w:cs="仿宋"/>
          <w:b/>
          <w:bCs/>
          <w:sz w:val="28"/>
          <w:szCs w:val="28"/>
          <w:highlight w:val="none"/>
          <w:u w:val="single"/>
          <w:lang w:val="en-US" w:eastAsia="zh-CN"/>
        </w:rPr>
        <w:t>7</w:t>
      </w:r>
      <w:r>
        <w:rPr>
          <w:rFonts w:hint="eastAsia" w:ascii="仿宋" w:hAnsi="仿宋" w:eastAsia="仿宋" w:cs="仿宋"/>
          <w:b/>
          <w:bCs/>
          <w:sz w:val="28"/>
          <w:szCs w:val="28"/>
          <w:highlight w:val="none"/>
          <w:u w:val="single"/>
        </w:rPr>
        <w:t>月</w:t>
      </w:r>
      <w:r>
        <w:rPr>
          <w:rFonts w:hint="eastAsia" w:cs="仿宋"/>
          <w:b/>
          <w:bCs/>
          <w:sz w:val="28"/>
          <w:szCs w:val="28"/>
          <w:highlight w:val="none"/>
          <w:u w:val="single"/>
          <w:lang w:val="en-US" w:eastAsia="zh-CN"/>
        </w:rPr>
        <w:t>3</w:t>
      </w:r>
      <w:r>
        <w:rPr>
          <w:rFonts w:hint="eastAsia" w:ascii="仿宋" w:hAnsi="仿宋" w:eastAsia="仿宋" w:cs="仿宋"/>
          <w:b/>
          <w:bCs/>
          <w:sz w:val="28"/>
          <w:szCs w:val="28"/>
          <w:highlight w:val="none"/>
          <w:u w:val="single"/>
        </w:rPr>
        <w:t>日17:</w:t>
      </w:r>
      <w:r>
        <w:rPr>
          <w:rFonts w:hint="eastAsia" w:cs="仿宋"/>
          <w:b/>
          <w:bCs/>
          <w:sz w:val="28"/>
          <w:szCs w:val="28"/>
          <w:highlight w:val="none"/>
          <w:u w:val="single"/>
          <w:lang w:val="en-US" w:eastAsia="zh-CN"/>
        </w:rPr>
        <w:t>3</w:t>
      </w:r>
      <w:r>
        <w:rPr>
          <w:rFonts w:hint="eastAsia" w:ascii="仿宋" w:hAnsi="仿宋" w:eastAsia="仿宋" w:cs="仿宋"/>
          <w:b/>
          <w:bCs/>
          <w:sz w:val="28"/>
          <w:szCs w:val="28"/>
          <w:highlight w:val="none"/>
          <w:u w:val="single"/>
        </w:rPr>
        <w:t>0</w:t>
      </w:r>
      <w:r>
        <w:rPr>
          <w:rFonts w:hint="eastAsia" w:ascii="仿宋" w:hAnsi="仿宋" w:eastAsia="仿宋" w:cs="仿宋"/>
          <w:b w:val="0"/>
          <w:bCs w:val="0"/>
          <w:sz w:val="28"/>
          <w:szCs w:val="28"/>
          <w:highlight w:val="none"/>
          <w:u w:val="none"/>
        </w:rPr>
        <w:t>前，将符合采购文件要求的资格证明文件以Word或PDF电子文档形式发送至</w:t>
      </w:r>
      <w:r>
        <w:rPr>
          <w:rFonts w:hint="eastAsia" w:ascii="仿宋" w:hAnsi="仿宋" w:eastAsia="仿宋" w:cs="仿宋"/>
          <w:b w:val="0"/>
          <w:bCs w:val="0"/>
          <w:sz w:val="28"/>
          <w:szCs w:val="28"/>
          <w:highlight w:val="none"/>
          <w:u w:val="single"/>
        </w:rPr>
        <w:t>168673332@qq.com</w:t>
      </w:r>
      <w:r>
        <w:rPr>
          <w:rFonts w:hint="eastAsia" w:ascii="仿宋" w:hAnsi="仿宋" w:eastAsia="仿宋" w:cs="仿宋"/>
          <w:b w:val="0"/>
          <w:bCs w:val="0"/>
          <w:sz w:val="28"/>
          <w:szCs w:val="28"/>
          <w:highlight w:val="none"/>
          <w:u w:val="none"/>
        </w:rPr>
        <w:t>完成报名，邮件名称及报名文件均命名为“项目名称+供应商名称+联系电话”。</w:t>
      </w:r>
    </w:p>
    <w:p w14:paraId="3068072F">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p>
    <w:p w14:paraId="46417307">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五、响应文件提交</w:t>
      </w:r>
      <w:bookmarkEnd w:id="11"/>
      <w:bookmarkEnd w:id="12"/>
      <w:bookmarkEnd w:id="13"/>
      <w:bookmarkEnd w:id="14"/>
    </w:p>
    <w:p w14:paraId="6A840722">
      <w:pPr>
        <w:pageBreakBefore w:val="0"/>
        <w:kinsoku/>
        <w:wordWrap/>
        <w:overflowPunct/>
        <w:topLinePunct w:val="0"/>
        <w:bidi w:val="0"/>
        <w:spacing w:line="400" w:lineRule="exact"/>
        <w:ind w:firstLine="560"/>
        <w:rPr>
          <w:rFonts w:hint="eastAsia" w:ascii="仿宋" w:hAnsi="仿宋" w:eastAsia="仿宋" w:cs="仿宋"/>
          <w:b w:val="0"/>
          <w:bCs w:val="0"/>
          <w:color w:val="0000FF"/>
          <w:sz w:val="28"/>
          <w:szCs w:val="28"/>
          <w:highlight w:val="none"/>
          <w:u w:val="none"/>
        </w:rPr>
      </w:pPr>
      <w:r>
        <w:rPr>
          <w:rFonts w:hint="eastAsia" w:ascii="仿宋" w:hAnsi="仿宋" w:eastAsia="仿宋" w:cs="仿宋"/>
          <w:b w:val="0"/>
          <w:bCs w:val="0"/>
          <w:sz w:val="28"/>
          <w:szCs w:val="28"/>
          <w:highlight w:val="none"/>
          <w:u w:val="none"/>
        </w:rPr>
        <w:t>响应文件接收截止时间：2024年</w:t>
      </w:r>
      <w:r>
        <w:rPr>
          <w:rFonts w:hint="eastAsia" w:cs="仿宋"/>
          <w:b w:val="0"/>
          <w:bCs w:val="0"/>
          <w:sz w:val="28"/>
          <w:szCs w:val="28"/>
          <w:highlight w:val="none"/>
          <w:u w:val="none"/>
          <w:lang w:val="en-US" w:eastAsia="zh-CN"/>
        </w:rPr>
        <w:t>7</w:t>
      </w:r>
      <w:r>
        <w:rPr>
          <w:rFonts w:hint="eastAsia" w:ascii="仿宋" w:hAnsi="仿宋" w:eastAsia="仿宋" w:cs="仿宋"/>
          <w:b w:val="0"/>
          <w:bCs w:val="0"/>
          <w:sz w:val="28"/>
          <w:szCs w:val="28"/>
          <w:highlight w:val="none"/>
          <w:u w:val="none"/>
        </w:rPr>
        <w:t>月</w:t>
      </w:r>
      <w:r>
        <w:rPr>
          <w:rFonts w:hint="eastAsia" w:cs="仿宋"/>
          <w:b w:val="0"/>
          <w:bCs w:val="0"/>
          <w:sz w:val="28"/>
          <w:szCs w:val="28"/>
          <w:highlight w:val="none"/>
          <w:u w:val="none"/>
          <w:lang w:val="en-US" w:eastAsia="zh-CN"/>
        </w:rPr>
        <w:t>4</w:t>
      </w:r>
      <w:r>
        <w:rPr>
          <w:rFonts w:hint="eastAsia" w:ascii="仿宋" w:hAnsi="仿宋" w:eastAsia="仿宋" w:cs="仿宋"/>
          <w:b w:val="0"/>
          <w:bCs w:val="0"/>
          <w:sz w:val="28"/>
          <w:szCs w:val="28"/>
          <w:highlight w:val="none"/>
          <w:u w:val="none"/>
        </w:rPr>
        <w:t>日</w:t>
      </w:r>
      <w:r>
        <w:rPr>
          <w:rFonts w:hint="eastAsia" w:cs="仿宋"/>
          <w:b w:val="0"/>
          <w:bCs w:val="0"/>
          <w:sz w:val="28"/>
          <w:szCs w:val="28"/>
          <w:highlight w:val="none"/>
          <w:u w:val="none"/>
          <w:lang w:val="en-US" w:eastAsia="zh-CN"/>
        </w:rPr>
        <w:t>14</w:t>
      </w:r>
      <w:r>
        <w:rPr>
          <w:rFonts w:hint="eastAsia" w:ascii="仿宋" w:hAnsi="仿宋" w:eastAsia="仿宋" w:cs="仿宋"/>
          <w:b w:val="0"/>
          <w:bCs w:val="0"/>
          <w:sz w:val="28"/>
          <w:szCs w:val="28"/>
          <w:highlight w:val="none"/>
          <w:u w:val="none"/>
        </w:rPr>
        <w:t>点</w:t>
      </w:r>
      <w:r>
        <w:rPr>
          <w:rFonts w:hint="eastAsia" w:cs="仿宋"/>
          <w:b w:val="0"/>
          <w:bCs w:val="0"/>
          <w:sz w:val="28"/>
          <w:szCs w:val="28"/>
          <w:highlight w:val="none"/>
          <w:u w:val="none"/>
          <w:lang w:val="en-US" w:eastAsia="zh-CN"/>
        </w:rPr>
        <w:t>20</w:t>
      </w:r>
      <w:r>
        <w:rPr>
          <w:rFonts w:hint="eastAsia" w:ascii="仿宋" w:hAnsi="仿宋" w:eastAsia="仿宋" w:cs="仿宋"/>
          <w:b w:val="0"/>
          <w:bCs w:val="0"/>
          <w:sz w:val="28"/>
          <w:szCs w:val="28"/>
          <w:highlight w:val="none"/>
          <w:u w:val="none"/>
        </w:rPr>
        <w:t>分（北京时间）</w:t>
      </w:r>
    </w:p>
    <w:p w14:paraId="755ADFC5">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响应文件包含但不限于下列内容：1.报价一览表（详见附件）；2.符合资格要求的相关材料；3.法人授权委托书、法定代表人身份证明书及被授权人身份证明书；4.</w:t>
      </w:r>
      <w:r>
        <w:rPr>
          <w:rFonts w:hint="eastAsia" w:ascii="仿宋" w:hAnsi="仿宋" w:eastAsia="仿宋" w:cs="仿宋"/>
          <w:b w:val="0"/>
          <w:bCs w:val="0"/>
          <w:sz w:val="28"/>
          <w:szCs w:val="28"/>
          <w:highlight w:val="none"/>
          <w:u w:val="none"/>
          <w:lang w:val="zh-CN"/>
        </w:rPr>
        <w:t>采购内容及要求条款偏离表</w:t>
      </w:r>
      <w:r>
        <w:rPr>
          <w:rFonts w:hint="eastAsia" w:ascii="仿宋" w:hAnsi="仿宋" w:eastAsia="仿宋" w:cs="仿宋"/>
          <w:b w:val="0"/>
          <w:bCs w:val="0"/>
          <w:sz w:val="28"/>
          <w:szCs w:val="28"/>
          <w:highlight w:val="none"/>
          <w:u w:val="none"/>
        </w:rPr>
        <w:t>（详见附件）</w:t>
      </w:r>
      <w:r>
        <w:rPr>
          <w:rFonts w:hint="eastAsia" w:ascii="仿宋" w:hAnsi="仿宋" w:eastAsia="仿宋" w:cs="仿宋"/>
          <w:b w:val="0"/>
          <w:bCs w:val="0"/>
          <w:sz w:val="28"/>
          <w:szCs w:val="28"/>
          <w:highlight w:val="none"/>
          <w:u w:val="none"/>
          <w:lang w:val="zh-CN"/>
        </w:rPr>
        <w:t>；</w:t>
      </w:r>
      <w:r>
        <w:rPr>
          <w:rFonts w:hint="eastAsia" w:ascii="仿宋" w:hAnsi="仿宋" w:eastAsia="仿宋" w:cs="仿宋"/>
          <w:b w:val="0"/>
          <w:bCs w:val="0"/>
          <w:sz w:val="28"/>
          <w:szCs w:val="28"/>
          <w:highlight w:val="none"/>
          <w:u w:val="none"/>
        </w:rPr>
        <w:t>5.项目技术及其他服务承诺。6.</w:t>
      </w:r>
      <w:r>
        <w:rPr>
          <w:rFonts w:hint="eastAsia" w:ascii="仿宋" w:hAnsi="仿宋" w:eastAsia="仿宋" w:cs="仿宋"/>
          <w:b w:val="0"/>
          <w:bCs w:val="0"/>
          <w:sz w:val="28"/>
          <w:szCs w:val="28"/>
          <w:highlight w:val="none"/>
          <w:u w:val="none"/>
          <w:lang w:val="zh-CN"/>
        </w:rPr>
        <w:t>供应商具有相关类似项目业绩情况表及证明材料等。</w:t>
      </w:r>
      <w:r>
        <w:rPr>
          <w:rFonts w:hint="eastAsia" w:ascii="仿宋" w:hAnsi="仿宋" w:eastAsia="仿宋" w:cs="仿宋"/>
          <w:b w:val="0"/>
          <w:bCs w:val="0"/>
          <w:sz w:val="28"/>
          <w:szCs w:val="28"/>
          <w:highlight w:val="none"/>
          <w:u w:val="none"/>
        </w:rPr>
        <w:t>上述材料均需加盖公章。（响应文件一式</w:t>
      </w:r>
      <w:r>
        <w:rPr>
          <w:rFonts w:hint="eastAsia" w:cs="仿宋"/>
          <w:b w:val="0"/>
          <w:bCs w:val="0"/>
          <w:sz w:val="28"/>
          <w:szCs w:val="28"/>
          <w:highlight w:val="none"/>
          <w:u w:val="none"/>
          <w:lang w:eastAsia="zh-CN"/>
        </w:rPr>
        <w:t>四</w:t>
      </w:r>
      <w:r>
        <w:rPr>
          <w:rFonts w:hint="eastAsia" w:ascii="仿宋" w:hAnsi="仿宋" w:eastAsia="仿宋" w:cs="仿宋"/>
          <w:b w:val="0"/>
          <w:bCs w:val="0"/>
          <w:sz w:val="28"/>
          <w:szCs w:val="28"/>
          <w:highlight w:val="none"/>
          <w:u w:val="none"/>
        </w:rPr>
        <w:t>份，一正三副，目录及页码清晰，密封，封面信息至少包含项目名称、供应商名称及联系电话。每份投标文件须清楚标明“正本”或“副本”字样。一旦正本和副本不符，以正本为准。）</w:t>
      </w:r>
    </w:p>
    <w:p w14:paraId="3E3EAEAE">
      <w:pPr>
        <w:pageBreakBefore w:val="0"/>
        <w:kinsoku/>
        <w:wordWrap/>
        <w:overflowPunct/>
        <w:topLinePunct w:val="0"/>
        <w:bidi w:val="0"/>
        <w:spacing w:line="400" w:lineRule="exact"/>
        <w:rPr>
          <w:rFonts w:hint="eastAsia" w:ascii="仿宋" w:hAnsi="仿宋" w:eastAsia="仿宋" w:cs="仿宋"/>
          <w:b w:val="0"/>
          <w:bCs w:val="0"/>
          <w:sz w:val="28"/>
          <w:szCs w:val="28"/>
          <w:highlight w:val="none"/>
          <w:u w:val="none"/>
          <w:lang w:val="en-US" w:eastAsia="zh-CN"/>
        </w:rPr>
      </w:pPr>
    </w:p>
    <w:p w14:paraId="241AAE26">
      <w:pPr>
        <w:pageBreakBefore w:val="0"/>
        <w:kinsoku/>
        <w:wordWrap/>
        <w:overflowPunct/>
        <w:topLinePunct w:val="0"/>
        <w:bidi w:val="0"/>
        <w:spacing w:line="400" w:lineRule="exact"/>
        <w:ind w:left="0" w:leftChars="0" w:firstLine="562" w:firstLineChars="200"/>
        <w:rPr>
          <w:rFonts w:hint="eastAsia" w:ascii="仿宋" w:hAnsi="仿宋" w:eastAsia="仿宋" w:cs="仿宋"/>
          <w:b w:val="0"/>
          <w:bCs w:val="0"/>
          <w:sz w:val="28"/>
          <w:szCs w:val="28"/>
          <w:highlight w:val="none"/>
          <w:u w:val="none"/>
        </w:rPr>
      </w:pPr>
      <w:r>
        <w:rPr>
          <w:rFonts w:hint="eastAsia" w:ascii="仿宋" w:hAnsi="仿宋" w:eastAsia="仿宋" w:cs="仿宋"/>
          <w:b/>
          <w:bCs/>
          <w:sz w:val="28"/>
          <w:szCs w:val="28"/>
          <w:highlight w:val="none"/>
          <w:u w:val="none"/>
          <w:lang w:val="en-US" w:eastAsia="zh-CN"/>
        </w:rPr>
        <w:t>六、</w:t>
      </w:r>
      <w:r>
        <w:rPr>
          <w:rFonts w:hint="eastAsia" w:ascii="仿宋" w:hAnsi="仿宋" w:eastAsia="仿宋" w:cs="仿宋"/>
          <w:b/>
          <w:bCs/>
          <w:sz w:val="28"/>
          <w:szCs w:val="28"/>
          <w:highlight w:val="none"/>
          <w:u w:val="none"/>
          <w:lang w:val="zh-CN"/>
        </w:rPr>
        <w:t>出现下列情形之一的响应文件按照无效处理：</w:t>
      </w:r>
      <w:r>
        <w:rPr>
          <w:rFonts w:hint="eastAsia" w:ascii="仿宋" w:hAnsi="仿宋" w:eastAsia="仿宋" w:cs="仿宋"/>
          <w:b w:val="0"/>
          <w:bCs w:val="0"/>
          <w:sz w:val="28"/>
          <w:szCs w:val="28"/>
          <w:highlight w:val="none"/>
          <w:u w:val="none"/>
        </w:rPr>
        <w:t>（1）不具备询价文件中规定资格条件的；（2）未实质性响应询价文件要求的；（3）不符合法律、法规和采购文件规定的其他实质性要求的；（4）投标资料未密封。</w:t>
      </w:r>
    </w:p>
    <w:p w14:paraId="4B66C29C">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zh-CN"/>
        </w:rPr>
      </w:pPr>
      <w:r>
        <w:rPr>
          <w:rFonts w:hint="eastAsia" w:ascii="仿宋" w:hAnsi="仿宋" w:eastAsia="仿宋" w:cs="仿宋"/>
          <w:b w:val="0"/>
          <w:bCs w:val="0"/>
          <w:sz w:val="28"/>
          <w:szCs w:val="28"/>
          <w:highlight w:val="none"/>
          <w:u w:val="none"/>
        </w:rPr>
        <w:t>出现下列情形之一的，询价终止：</w:t>
      </w:r>
      <w:r>
        <w:rPr>
          <w:rFonts w:hint="eastAsia" w:ascii="仿宋" w:hAnsi="仿宋" w:eastAsia="仿宋" w:cs="仿宋"/>
          <w:b w:val="0"/>
          <w:bCs w:val="0"/>
          <w:sz w:val="28"/>
          <w:szCs w:val="28"/>
          <w:highlight w:val="none"/>
          <w:u w:val="none"/>
          <w:lang w:val="zh-CN"/>
        </w:rPr>
        <w:t>（1）所有供应商的响应文件被询价小组认定为无效的；（</w:t>
      </w:r>
      <w:r>
        <w:rPr>
          <w:rFonts w:hint="eastAsia" w:ascii="仿宋" w:hAnsi="仿宋" w:eastAsia="仿宋" w:cs="仿宋"/>
          <w:b w:val="0"/>
          <w:bCs w:val="0"/>
          <w:sz w:val="28"/>
          <w:szCs w:val="28"/>
          <w:highlight w:val="none"/>
          <w:u w:val="none"/>
        </w:rPr>
        <w:t>2</w:t>
      </w:r>
      <w:r>
        <w:rPr>
          <w:rFonts w:hint="eastAsia" w:ascii="仿宋" w:hAnsi="仿宋" w:eastAsia="仿宋" w:cs="仿宋"/>
          <w:b w:val="0"/>
          <w:bCs w:val="0"/>
          <w:sz w:val="28"/>
          <w:szCs w:val="28"/>
          <w:highlight w:val="none"/>
          <w:u w:val="none"/>
          <w:lang w:val="zh-CN"/>
        </w:rPr>
        <w:t>）出现影响采购公正的违法、违规行为的；（</w:t>
      </w:r>
      <w:r>
        <w:rPr>
          <w:rFonts w:hint="eastAsia" w:ascii="仿宋" w:hAnsi="仿宋" w:eastAsia="仿宋" w:cs="仿宋"/>
          <w:b w:val="0"/>
          <w:bCs w:val="0"/>
          <w:sz w:val="28"/>
          <w:szCs w:val="28"/>
          <w:highlight w:val="none"/>
          <w:u w:val="none"/>
        </w:rPr>
        <w:t>3</w:t>
      </w:r>
      <w:r>
        <w:rPr>
          <w:rFonts w:hint="eastAsia" w:ascii="仿宋" w:hAnsi="仿宋" w:eastAsia="仿宋" w:cs="仿宋"/>
          <w:b w:val="0"/>
          <w:bCs w:val="0"/>
          <w:sz w:val="28"/>
          <w:szCs w:val="28"/>
          <w:highlight w:val="none"/>
          <w:u w:val="none"/>
          <w:lang w:val="zh-CN"/>
        </w:rPr>
        <w:t>）供应商的最终报价超过采购预算的；（</w:t>
      </w:r>
      <w:r>
        <w:rPr>
          <w:rFonts w:hint="eastAsia" w:ascii="仿宋" w:hAnsi="仿宋" w:eastAsia="仿宋" w:cs="仿宋"/>
          <w:b w:val="0"/>
          <w:bCs w:val="0"/>
          <w:sz w:val="28"/>
          <w:szCs w:val="28"/>
          <w:highlight w:val="none"/>
          <w:u w:val="none"/>
        </w:rPr>
        <w:t>4</w:t>
      </w:r>
      <w:r>
        <w:rPr>
          <w:rFonts w:hint="eastAsia" w:ascii="仿宋" w:hAnsi="仿宋" w:eastAsia="仿宋" w:cs="仿宋"/>
          <w:b w:val="0"/>
          <w:bCs w:val="0"/>
          <w:sz w:val="28"/>
          <w:szCs w:val="28"/>
          <w:highlight w:val="none"/>
          <w:u w:val="none"/>
          <w:lang w:val="zh-CN"/>
        </w:rPr>
        <w:t>）因重大变故，采购任务取消的。</w:t>
      </w:r>
    </w:p>
    <w:p w14:paraId="4372B1F0">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p>
    <w:p w14:paraId="6F8742E8">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七、</w:t>
      </w:r>
      <w:r>
        <w:rPr>
          <w:rFonts w:hint="eastAsia" w:ascii="仿宋" w:hAnsi="仿宋" w:eastAsia="仿宋" w:cs="仿宋"/>
          <w:b/>
          <w:bCs/>
          <w:sz w:val="28"/>
          <w:szCs w:val="28"/>
          <w:highlight w:val="none"/>
          <w:u w:val="none"/>
        </w:rPr>
        <w:t>开（评）标时间及地点</w:t>
      </w:r>
    </w:p>
    <w:p w14:paraId="7707D985">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开标时间：2024年</w:t>
      </w:r>
      <w:r>
        <w:rPr>
          <w:rFonts w:hint="eastAsia" w:cs="仿宋"/>
          <w:b w:val="0"/>
          <w:bCs w:val="0"/>
          <w:sz w:val="28"/>
          <w:szCs w:val="28"/>
          <w:highlight w:val="none"/>
          <w:u w:val="none"/>
          <w:lang w:val="en-US" w:eastAsia="zh-CN"/>
        </w:rPr>
        <w:t>7</w:t>
      </w:r>
      <w:r>
        <w:rPr>
          <w:rFonts w:hint="eastAsia" w:ascii="仿宋" w:hAnsi="仿宋" w:eastAsia="仿宋" w:cs="仿宋"/>
          <w:b w:val="0"/>
          <w:bCs w:val="0"/>
          <w:sz w:val="28"/>
          <w:szCs w:val="28"/>
          <w:highlight w:val="none"/>
          <w:u w:val="none"/>
        </w:rPr>
        <w:t>月</w:t>
      </w:r>
      <w:r>
        <w:rPr>
          <w:rFonts w:hint="eastAsia" w:cs="仿宋"/>
          <w:b w:val="0"/>
          <w:bCs w:val="0"/>
          <w:sz w:val="28"/>
          <w:szCs w:val="28"/>
          <w:highlight w:val="none"/>
          <w:u w:val="none"/>
          <w:lang w:val="en-US" w:eastAsia="zh-CN"/>
        </w:rPr>
        <w:t>4</w:t>
      </w:r>
      <w:r>
        <w:rPr>
          <w:rFonts w:hint="eastAsia" w:ascii="仿宋" w:hAnsi="仿宋" w:eastAsia="仿宋" w:cs="仿宋"/>
          <w:b w:val="0"/>
          <w:bCs w:val="0"/>
          <w:sz w:val="28"/>
          <w:szCs w:val="28"/>
          <w:highlight w:val="none"/>
          <w:u w:val="none"/>
        </w:rPr>
        <w:t>日</w:t>
      </w:r>
      <w:r>
        <w:rPr>
          <w:rFonts w:hint="eastAsia" w:cs="仿宋"/>
          <w:b w:val="0"/>
          <w:bCs w:val="0"/>
          <w:sz w:val="28"/>
          <w:szCs w:val="28"/>
          <w:highlight w:val="none"/>
          <w:u w:val="none"/>
          <w:lang w:val="en-US" w:eastAsia="zh-CN"/>
        </w:rPr>
        <w:t>14</w:t>
      </w:r>
      <w:r>
        <w:rPr>
          <w:rFonts w:hint="eastAsia" w:ascii="仿宋" w:hAnsi="仿宋" w:eastAsia="仿宋" w:cs="仿宋"/>
          <w:b w:val="0"/>
          <w:bCs w:val="0"/>
          <w:sz w:val="28"/>
          <w:szCs w:val="28"/>
          <w:highlight w:val="none"/>
          <w:u w:val="none"/>
        </w:rPr>
        <w:t>点</w:t>
      </w:r>
      <w:r>
        <w:rPr>
          <w:rFonts w:hint="eastAsia" w:cs="仿宋"/>
          <w:b w:val="0"/>
          <w:bCs w:val="0"/>
          <w:sz w:val="28"/>
          <w:szCs w:val="28"/>
          <w:highlight w:val="none"/>
          <w:u w:val="none"/>
          <w:lang w:val="en-US" w:eastAsia="zh-CN"/>
        </w:rPr>
        <w:t>30</w:t>
      </w:r>
      <w:r>
        <w:rPr>
          <w:rFonts w:hint="eastAsia" w:ascii="仿宋" w:hAnsi="仿宋" w:eastAsia="仿宋" w:cs="仿宋"/>
          <w:b w:val="0"/>
          <w:bCs w:val="0"/>
          <w:sz w:val="28"/>
          <w:szCs w:val="28"/>
          <w:highlight w:val="none"/>
          <w:u w:val="none"/>
        </w:rPr>
        <w:t>分（北京时间）</w:t>
      </w:r>
    </w:p>
    <w:p w14:paraId="1A3778D8">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开标地点：溧水区人民医院行政楼5楼会议室。</w:t>
      </w:r>
    </w:p>
    <w:p w14:paraId="30917685">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bookmarkStart w:id="15" w:name="_Toc28359017"/>
      <w:bookmarkStart w:id="16" w:name="_Toc28359094"/>
      <w:bookmarkStart w:id="17" w:name="_Toc35393803"/>
      <w:bookmarkStart w:id="18" w:name="_Toc35393634"/>
    </w:p>
    <w:p w14:paraId="2F469343">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八、</w:t>
      </w:r>
      <w:r>
        <w:rPr>
          <w:rFonts w:hint="eastAsia" w:ascii="仿宋" w:hAnsi="仿宋" w:eastAsia="仿宋" w:cs="仿宋"/>
          <w:b/>
          <w:bCs/>
          <w:sz w:val="28"/>
          <w:szCs w:val="28"/>
          <w:highlight w:val="none"/>
          <w:u w:val="none"/>
        </w:rPr>
        <w:t>成交</w:t>
      </w:r>
    </w:p>
    <w:p w14:paraId="0DC05457">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符合采购人对本项目资格要求，并满足采购人对本项目的采购内容及要求的基础上，投标报价最</w:t>
      </w:r>
      <w:r>
        <w:rPr>
          <w:rFonts w:hint="eastAsia" w:cs="仿宋"/>
          <w:b w:val="0"/>
          <w:bCs w:val="0"/>
          <w:sz w:val="28"/>
          <w:szCs w:val="28"/>
          <w:highlight w:val="none"/>
          <w:u w:val="none"/>
          <w:lang w:eastAsia="zh-CN"/>
        </w:rPr>
        <w:t>高</w:t>
      </w:r>
      <w:r>
        <w:rPr>
          <w:rFonts w:hint="eastAsia" w:ascii="仿宋" w:hAnsi="仿宋" w:eastAsia="仿宋" w:cs="仿宋"/>
          <w:b w:val="0"/>
          <w:bCs w:val="0"/>
          <w:sz w:val="28"/>
          <w:szCs w:val="28"/>
          <w:highlight w:val="none"/>
          <w:u w:val="none"/>
        </w:rPr>
        <w:t>的供应商为中标候选人。不再进行二次报价。</w:t>
      </w:r>
    </w:p>
    <w:p w14:paraId="4F4FB1B0">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p>
    <w:p w14:paraId="6028EA95">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九</w:t>
      </w:r>
      <w:r>
        <w:rPr>
          <w:rFonts w:hint="eastAsia" w:ascii="仿宋" w:hAnsi="仿宋" w:eastAsia="仿宋" w:cs="仿宋"/>
          <w:b/>
          <w:bCs/>
          <w:sz w:val="28"/>
          <w:szCs w:val="28"/>
          <w:highlight w:val="none"/>
          <w:u w:val="none"/>
        </w:rPr>
        <w:t>、公告期限</w:t>
      </w:r>
      <w:bookmarkEnd w:id="15"/>
      <w:bookmarkEnd w:id="16"/>
      <w:bookmarkEnd w:id="17"/>
      <w:bookmarkEnd w:id="18"/>
    </w:p>
    <w:p w14:paraId="733FD37F">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自本公告发布之日起3个工作</w:t>
      </w:r>
      <w:bookmarkStart w:id="23" w:name="_GoBack"/>
      <w:bookmarkEnd w:id="23"/>
      <w:r>
        <w:rPr>
          <w:rFonts w:hint="eastAsia" w:ascii="仿宋" w:hAnsi="仿宋" w:eastAsia="仿宋" w:cs="仿宋"/>
          <w:b w:val="0"/>
          <w:bCs w:val="0"/>
          <w:sz w:val="28"/>
          <w:szCs w:val="28"/>
          <w:highlight w:val="none"/>
          <w:u w:val="none"/>
        </w:rPr>
        <w:t>日。</w:t>
      </w:r>
    </w:p>
    <w:p w14:paraId="5F01AA21">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bookmarkStart w:id="19" w:name="_Toc35393805"/>
      <w:bookmarkStart w:id="20" w:name="_Toc28359095"/>
      <w:bookmarkStart w:id="21" w:name="_Toc35393636"/>
      <w:bookmarkStart w:id="22" w:name="_Toc28359018"/>
    </w:p>
    <w:p w14:paraId="3659C8B2">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十、</w:t>
      </w:r>
      <w:r>
        <w:rPr>
          <w:rFonts w:hint="eastAsia" w:ascii="仿宋" w:hAnsi="仿宋" w:eastAsia="仿宋" w:cs="仿宋"/>
          <w:b/>
          <w:bCs/>
          <w:sz w:val="28"/>
          <w:szCs w:val="28"/>
          <w:highlight w:val="none"/>
          <w:u w:val="none"/>
        </w:rPr>
        <w:t>凡对本次采购提出询问，请按以下方式联系。</w:t>
      </w:r>
      <w:bookmarkEnd w:id="19"/>
      <w:bookmarkEnd w:id="20"/>
      <w:bookmarkEnd w:id="21"/>
      <w:bookmarkEnd w:id="22"/>
    </w:p>
    <w:p w14:paraId="279F8309">
      <w:pPr>
        <w:pageBreakBefore w:val="0"/>
        <w:kinsoku/>
        <w:wordWrap/>
        <w:overflowPunct/>
        <w:topLinePunct w:val="0"/>
        <w:bidi w:val="0"/>
        <w:spacing w:line="400" w:lineRule="exact"/>
        <w:ind w:firstLine="560"/>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rPr>
        <w:t>名    称：</w:t>
      </w:r>
      <w:r>
        <w:rPr>
          <w:rFonts w:hint="eastAsia" w:ascii="仿宋" w:hAnsi="仿宋" w:eastAsia="仿宋" w:cs="仿宋"/>
          <w:b w:val="0"/>
          <w:bCs w:val="0"/>
          <w:sz w:val="28"/>
          <w:szCs w:val="28"/>
          <w:highlight w:val="none"/>
          <w:u w:val="none"/>
          <w:lang w:val="en-US" w:eastAsia="zh-CN"/>
        </w:rPr>
        <w:t xml:space="preserve">  </w:t>
      </w:r>
      <w:r>
        <w:rPr>
          <w:rFonts w:hint="eastAsia" w:cs="仿宋"/>
          <w:b w:val="0"/>
          <w:bCs w:val="0"/>
          <w:sz w:val="28"/>
          <w:szCs w:val="28"/>
          <w:highlight w:val="none"/>
          <w:u w:val="none"/>
          <w:lang w:eastAsia="zh-CN"/>
        </w:rPr>
        <w:t>总务科</w:t>
      </w:r>
      <w:r>
        <w:rPr>
          <w:rFonts w:hint="eastAsia" w:ascii="仿宋" w:hAnsi="仿宋" w:eastAsia="仿宋" w:cs="仿宋"/>
          <w:b w:val="0"/>
          <w:bCs w:val="0"/>
          <w:sz w:val="28"/>
          <w:szCs w:val="28"/>
          <w:highlight w:val="none"/>
          <w:u w:val="none"/>
        </w:rPr>
        <w:t>（技术问题咨询）</w:t>
      </w:r>
      <w:r>
        <w:rPr>
          <w:rFonts w:hint="eastAsia" w:ascii="仿宋" w:hAnsi="仿宋" w:eastAsia="仿宋" w:cs="仿宋"/>
          <w:b w:val="0"/>
          <w:bCs w:val="0"/>
          <w:sz w:val="28"/>
          <w:szCs w:val="28"/>
          <w:highlight w:val="none"/>
          <w:u w:val="none"/>
          <w:lang w:val="en-US" w:eastAsia="zh-CN"/>
        </w:rPr>
        <w:t xml:space="preserve"> 物资采购管理中心（采购事宜）</w:t>
      </w:r>
    </w:p>
    <w:p w14:paraId="6674A648">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 xml:space="preserve">地    址：　南京市溧水区崇文路86号　　　　　　　　　     </w:t>
      </w:r>
    </w:p>
    <w:p w14:paraId="3087790D">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p>
    <w:p w14:paraId="5897F4D9">
      <w:pPr>
        <w:pageBreakBefore w:val="0"/>
        <w:kinsoku/>
        <w:wordWrap/>
        <w:overflowPunct/>
        <w:topLinePunct w:val="0"/>
        <w:bidi w:val="0"/>
        <w:spacing w:line="400" w:lineRule="exact"/>
        <w:ind w:firstLine="560"/>
        <w:rPr>
          <w:rFonts w:hint="eastAsia" w:cs="仿宋"/>
          <w:b w:val="0"/>
          <w:bCs w:val="0"/>
          <w:sz w:val="28"/>
          <w:szCs w:val="28"/>
          <w:highlight w:val="none"/>
          <w:u w:val="none"/>
          <w:lang w:eastAsia="zh-CN"/>
        </w:rPr>
      </w:pPr>
      <w:r>
        <w:rPr>
          <w:rFonts w:hint="eastAsia" w:ascii="仿宋" w:hAnsi="仿宋" w:eastAsia="仿宋" w:cs="仿宋"/>
          <w:b w:val="0"/>
          <w:bCs w:val="0"/>
          <w:sz w:val="28"/>
          <w:szCs w:val="28"/>
          <w:highlight w:val="none"/>
          <w:u w:val="none"/>
        </w:rPr>
        <w:t>联系方式：　</w:t>
      </w:r>
      <w:r>
        <w:rPr>
          <w:rFonts w:hint="eastAsia" w:ascii="仿宋" w:hAnsi="仿宋" w:eastAsia="仿宋" w:cs="仿宋"/>
          <w:b w:val="0"/>
          <w:bCs w:val="0"/>
          <w:sz w:val="28"/>
          <w:szCs w:val="28"/>
          <w:highlight w:val="none"/>
          <w:u w:val="none"/>
          <w:lang w:val="en-US" w:eastAsia="zh-CN"/>
        </w:rPr>
        <w:t>025-562320</w:t>
      </w:r>
      <w:r>
        <w:rPr>
          <w:rFonts w:hint="eastAsia" w:cs="仿宋"/>
          <w:b w:val="0"/>
          <w:bCs w:val="0"/>
          <w:sz w:val="28"/>
          <w:szCs w:val="28"/>
          <w:highlight w:val="none"/>
          <w:u w:val="none"/>
          <w:lang w:val="en-US" w:eastAsia="zh-CN"/>
        </w:rPr>
        <w:t>27</w:t>
      </w:r>
      <w:r>
        <w:rPr>
          <w:rFonts w:hint="eastAsia" w:cs="仿宋"/>
          <w:b w:val="0"/>
          <w:bCs w:val="0"/>
          <w:sz w:val="28"/>
          <w:szCs w:val="28"/>
          <w:highlight w:val="none"/>
          <w:u w:val="none"/>
          <w:lang w:eastAsia="zh-CN"/>
        </w:rPr>
        <w:t>周老师（总务科）</w:t>
      </w:r>
    </w:p>
    <w:p w14:paraId="772F3B7A">
      <w:pPr>
        <w:pageBreakBefore w:val="0"/>
        <w:kinsoku/>
        <w:wordWrap/>
        <w:overflowPunct/>
        <w:topLinePunct w:val="0"/>
        <w:bidi w:val="0"/>
        <w:spacing w:line="400" w:lineRule="exact"/>
        <w:ind w:firstLine="2240" w:firstLineChars="80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025-56232</w:t>
      </w:r>
      <w:r>
        <w:rPr>
          <w:rFonts w:hint="eastAsia" w:ascii="仿宋" w:hAnsi="仿宋" w:eastAsia="仿宋" w:cs="仿宋"/>
          <w:b w:val="0"/>
          <w:bCs w:val="0"/>
          <w:sz w:val="28"/>
          <w:szCs w:val="28"/>
          <w:highlight w:val="none"/>
          <w:u w:val="none"/>
          <w:lang w:val="en-US" w:eastAsia="zh-CN"/>
        </w:rPr>
        <w:t>023秦老师</w:t>
      </w:r>
      <w:r>
        <w:rPr>
          <w:rFonts w:hint="eastAsia" w:cs="仿宋"/>
          <w:b w:val="0"/>
          <w:bCs w:val="0"/>
          <w:sz w:val="28"/>
          <w:szCs w:val="28"/>
          <w:highlight w:val="none"/>
          <w:u w:val="none"/>
          <w:lang w:val="en-US" w:eastAsia="zh-CN"/>
        </w:rPr>
        <w:t>（采购中心）</w:t>
      </w:r>
    </w:p>
    <w:p w14:paraId="7B807705">
      <w:pPr>
        <w:pStyle w:val="2"/>
        <w:pageBreakBefore w:val="0"/>
        <w:kinsoku/>
        <w:wordWrap/>
        <w:overflowPunct/>
        <w:topLinePunct w:val="0"/>
        <w:bidi w:val="0"/>
        <w:spacing w:line="400" w:lineRule="exact"/>
        <w:rPr>
          <w:rFonts w:hint="eastAsia" w:ascii="仿宋" w:hAnsi="仿宋" w:eastAsia="仿宋" w:cs="仿宋"/>
          <w:b w:val="0"/>
          <w:bCs w:val="0"/>
          <w:highlight w:val="none"/>
          <w:u w:val="none"/>
        </w:rPr>
      </w:pPr>
    </w:p>
    <w:p w14:paraId="348A1199">
      <w:pPr>
        <w:pageBreakBefore w:val="0"/>
        <w:kinsoku/>
        <w:wordWrap/>
        <w:overflowPunct/>
        <w:topLinePunct w:val="0"/>
        <w:bidi w:val="0"/>
        <w:spacing w:line="400" w:lineRule="exact"/>
        <w:rPr>
          <w:rFonts w:hint="eastAsia" w:ascii="仿宋" w:hAnsi="仿宋" w:eastAsia="仿宋" w:cs="仿宋"/>
          <w:b w:val="0"/>
          <w:bCs w:val="0"/>
          <w:highlight w:val="none"/>
          <w:u w:val="none"/>
        </w:rPr>
      </w:pPr>
    </w:p>
    <w:p w14:paraId="097FDB54">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rPr>
      </w:pPr>
    </w:p>
    <w:p w14:paraId="3DDF3A78">
      <w:pPr>
        <w:pStyle w:val="2"/>
        <w:pageBreakBefore w:val="0"/>
        <w:kinsoku/>
        <w:wordWrap/>
        <w:overflowPunct/>
        <w:topLinePunct w:val="0"/>
        <w:bidi w:val="0"/>
        <w:spacing w:line="400" w:lineRule="exact"/>
        <w:ind w:left="0" w:leftChars="0" w:firstLine="0" w:firstLineChars="0"/>
        <w:rPr>
          <w:rFonts w:hint="eastAsia" w:ascii="仿宋" w:hAnsi="仿宋" w:eastAsia="仿宋" w:cs="仿宋"/>
          <w:highlight w:val="none"/>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4CBA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6C4D1AC">
            <w:pPr>
              <w:pageBreakBefore w:val="0"/>
              <w:widowControl/>
              <w:shd w:val="clear" w:color="auto" w:fill="FFFFFF"/>
              <w:kinsoku/>
              <w:wordWrap/>
              <w:overflowPunct/>
              <w:topLinePunct w:val="0"/>
              <w:bidi w:val="0"/>
              <w:snapToGrid w:val="0"/>
              <w:spacing w:line="400" w:lineRule="exact"/>
              <w:ind w:left="420"/>
              <w:contextualSpacing/>
              <w:jc w:val="center"/>
              <w:rPr>
                <w:rFonts w:hint="eastAsia" w:ascii="仿宋" w:hAnsi="仿宋" w:eastAsia="仿宋" w:cs="仿宋"/>
                <w:b/>
                <w:bCs/>
                <w:color w:val="000000"/>
                <w:kern w:val="0"/>
                <w:sz w:val="28"/>
                <w:szCs w:val="28"/>
                <w:highlight w:val="none"/>
                <w:u w:val="none"/>
                <w:lang w:bidi="en-US"/>
              </w:rPr>
            </w:pPr>
            <w:r>
              <w:rPr>
                <w:rFonts w:hint="eastAsia" w:ascii="仿宋" w:hAnsi="仿宋" w:eastAsia="仿宋" w:cs="仿宋"/>
                <w:b/>
                <w:color w:val="000000"/>
                <w:kern w:val="0"/>
                <w:sz w:val="28"/>
                <w:szCs w:val="28"/>
                <w:highlight w:val="none"/>
                <w:u w:val="none"/>
                <w:lang w:bidi="en-US"/>
              </w:rPr>
              <w:t>资格审查</w:t>
            </w:r>
            <w:r>
              <w:rPr>
                <w:rFonts w:hint="eastAsia" w:ascii="仿宋" w:hAnsi="仿宋" w:eastAsia="仿宋" w:cs="仿宋"/>
                <w:b/>
                <w:color w:val="000000"/>
                <w:kern w:val="0"/>
                <w:sz w:val="28"/>
                <w:szCs w:val="28"/>
                <w:highlight w:val="none"/>
                <w:u w:val="none"/>
                <w:lang w:eastAsia="en-US" w:bidi="en-US"/>
              </w:rPr>
              <w:t>项目</w:t>
            </w:r>
          </w:p>
        </w:tc>
        <w:tc>
          <w:tcPr>
            <w:tcW w:w="3018" w:type="dxa"/>
          </w:tcPr>
          <w:p w14:paraId="42CACBEE">
            <w:pPr>
              <w:pageBreakBefore w:val="0"/>
              <w:kinsoku/>
              <w:wordWrap/>
              <w:overflowPunct/>
              <w:topLinePunct w:val="0"/>
              <w:bidi w:val="0"/>
              <w:snapToGrid w:val="0"/>
              <w:spacing w:line="400" w:lineRule="exact"/>
              <w:jc w:val="center"/>
              <w:rPr>
                <w:rFonts w:hint="eastAsia" w:ascii="仿宋" w:hAnsi="仿宋" w:eastAsia="仿宋" w:cs="仿宋"/>
                <w:b/>
                <w:color w:val="000000"/>
                <w:sz w:val="28"/>
                <w:szCs w:val="28"/>
                <w:highlight w:val="none"/>
                <w:u w:val="none"/>
              </w:rPr>
            </w:pPr>
            <w:r>
              <w:rPr>
                <w:rFonts w:hint="eastAsia" w:ascii="仿宋" w:hAnsi="仿宋" w:eastAsia="仿宋" w:cs="仿宋"/>
                <w:b/>
                <w:color w:val="000000"/>
                <w:sz w:val="28"/>
                <w:szCs w:val="28"/>
                <w:highlight w:val="none"/>
                <w:u w:val="none"/>
              </w:rPr>
              <w:t>在响应文件中的页码位置</w:t>
            </w:r>
          </w:p>
        </w:tc>
      </w:tr>
      <w:tr w14:paraId="381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924BB5B">
            <w:pPr>
              <w:pageBreakBefore w:val="0"/>
              <w:widowControl/>
              <w:shd w:val="clear" w:color="auto" w:fill="FFFFFF"/>
              <w:kinsoku/>
              <w:wordWrap/>
              <w:overflowPunct/>
              <w:topLinePunct w:val="0"/>
              <w:bidi w:val="0"/>
              <w:snapToGrid w:val="0"/>
              <w:spacing w:line="400" w:lineRule="exact"/>
              <w:ind w:left="0" w:leftChars="0" w:firstLine="0" w:firstLineChars="0"/>
              <w:contextualSpacing/>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具有独立承担民事责任的能力（提供法人或者其他组织的营业执照、经营许可证等证明文件和自然人的身份证明）</w:t>
            </w:r>
          </w:p>
        </w:tc>
        <w:tc>
          <w:tcPr>
            <w:tcW w:w="3018" w:type="dxa"/>
          </w:tcPr>
          <w:p w14:paraId="4BFF72C0">
            <w:pPr>
              <w:pageBreakBefore w:val="0"/>
              <w:kinsoku/>
              <w:wordWrap/>
              <w:overflowPunct/>
              <w:topLinePunct w:val="0"/>
              <w:bidi w:val="0"/>
              <w:snapToGrid w:val="0"/>
              <w:spacing w:line="400" w:lineRule="exact"/>
              <w:rPr>
                <w:rFonts w:hint="eastAsia" w:ascii="仿宋" w:hAnsi="仿宋" w:eastAsia="仿宋" w:cs="仿宋"/>
                <w:b w:val="0"/>
                <w:bCs w:val="0"/>
                <w:color w:val="000000"/>
                <w:kern w:val="0"/>
                <w:sz w:val="28"/>
                <w:szCs w:val="28"/>
                <w:highlight w:val="none"/>
                <w:u w:val="none"/>
                <w:lang w:bidi="en-US"/>
              </w:rPr>
            </w:pPr>
          </w:p>
        </w:tc>
      </w:tr>
      <w:tr w14:paraId="06A2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09F76F68">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具有良好的商业信誉和健全的财务会计制度（提供参加本次政府采购活动前一年内至少一个月的会计报表）</w:t>
            </w:r>
          </w:p>
        </w:tc>
        <w:tc>
          <w:tcPr>
            <w:tcW w:w="3018" w:type="dxa"/>
          </w:tcPr>
          <w:p w14:paraId="62609788">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14:paraId="0166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5DBF3E2">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color w:val="000000"/>
                <w:sz w:val="28"/>
                <w:szCs w:val="28"/>
                <w:highlight w:val="none"/>
                <w:u w:val="none"/>
              </w:rPr>
            </w:pPr>
            <w:r>
              <w:rPr>
                <w:rFonts w:hint="eastAsia" w:ascii="仿宋" w:hAnsi="仿宋" w:eastAsia="仿宋" w:cs="仿宋"/>
                <w:b w:val="0"/>
                <w:bCs w:val="0"/>
                <w:color w:val="000000"/>
                <w:sz w:val="28"/>
                <w:szCs w:val="28"/>
                <w:highlight w:val="none"/>
                <w:u w:val="none"/>
              </w:rPr>
              <w:t>具有履行合同所必需的设备和专业技术能力（根据项目需求提供相应的专业设备说明、技术管理人员情况申明、专业技术资质等）；</w:t>
            </w:r>
          </w:p>
        </w:tc>
        <w:tc>
          <w:tcPr>
            <w:tcW w:w="3018" w:type="dxa"/>
          </w:tcPr>
          <w:p w14:paraId="0BAD589C">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14:paraId="0B20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153BB8F">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sz w:val="28"/>
                <w:szCs w:val="28"/>
                <w:highlight w:val="none"/>
                <w:u w:val="none"/>
              </w:rPr>
            </w:pPr>
            <w:r>
              <w:rPr>
                <w:rFonts w:hint="eastAsia" w:ascii="仿宋" w:hAnsi="仿宋" w:eastAsia="仿宋" w:cs="仿宋"/>
                <w:b w:val="0"/>
                <w:bCs w:val="0"/>
                <w:color w:val="000000"/>
                <w:sz w:val="28"/>
                <w:szCs w:val="28"/>
                <w:highlight w:val="none"/>
                <w:u w:val="none"/>
              </w:rPr>
              <w:t>有依法缴纳税收和社会保障资金的良好记录（提供参加政府采购活动前一年内至少一个月依法缴纳税收和社会保障资金的相关材料）；</w:t>
            </w:r>
          </w:p>
        </w:tc>
        <w:tc>
          <w:tcPr>
            <w:tcW w:w="3018" w:type="dxa"/>
          </w:tcPr>
          <w:p w14:paraId="1DCD7788">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14:paraId="664C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5516729">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参加政府采购活动前三年内，在经营活动中没有重大违法记录（提供参加政府采购活动前三年内在经营活动中没有重大违法记录的书面声明）；</w:t>
            </w:r>
          </w:p>
        </w:tc>
        <w:tc>
          <w:tcPr>
            <w:tcW w:w="3018" w:type="dxa"/>
          </w:tcPr>
          <w:p w14:paraId="0F1B696A">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14:paraId="0290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1B026B41">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kern w:val="0"/>
                <w:sz w:val="28"/>
                <w:szCs w:val="28"/>
                <w:highlight w:val="none"/>
                <w:u w:val="none"/>
              </w:rPr>
            </w:pPr>
            <w:r>
              <w:rPr>
                <w:rFonts w:hint="eastAsia" w:ascii="仿宋" w:hAnsi="仿宋" w:eastAsia="仿宋" w:cs="仿宋"/>
                <w:b w:val="0"/>
                <w:bCs w:val="0"/>
                <w:color w:val="000000"/>
                <w:sz w:val="28"/>
                <w:szCs w:val="28"/>
                <w:highlight w:val="none"/>
                <w:u w:val="none"/>
              </w:rPr>
              <w:t>南京市政府采购供应商信用记录表</w:t>
            </w:r>
          </w:p>
        </w:tc>
        <w:tc>
          <w:tcPr>
            <w:tcW w:w="3018" w:type="dxa"/>
          </w:tcPr>
          <w:p w14:paraId="68F8629C">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bl>
    <w:p w14:paraId="36E07AF8">
      <w:pPr>
        <w:pStyle w:val="20"/>
        <w:pageBreakBefore w:val="0"/>
        <w:kinsoku/>
        <w:wordWrap/>
        <w:overflowPunct/>
        <w:topLinePunct w:val="0"/>
        <w:bidi w:val="0"/>
        <w:spacing w:line="400" w:lineRule="exact"/>
        <w:rPr>
          <w:rFonts w:hint="eastAsia" w:ascii="仿宋" w:hAnsi="仿宋" w:eastAsia="仿宋" w:cs="仿宋"/>
          <w:b w:val="0"/>
          <w:bCs w:val="0"/>
          <w:sz w:val="28"/>
          <w:szCs w:val="28"/>
          <w:highlight w:val="none"/>
          <w:u w:val="none"/>
        </w:rPr>
      </w:pPr>
    </w:p>
    <w:p w14:paraId="44BCE95F">
      <w:pPr>
        <w:pStyle w:val="20"/>
        <w:pageBreakBefore w:val="0"/>
        <w:kinsoku/>
        <w:wordWrap/>
        <w:overflowPunct/>
        <w:topLinePunct w:val="0"/>
        <w:bidi w:val="0"/>
        <w:spacing w:line="400" w:lineRule="exact"/>
        <w:rPr>
          <w:rFonts w:hint="eastAsia" w:ascii="仿宋" w:hAnsi="仿宋" w:eastAsia="仿宋" w:cs="仿宋"/>
          <w:sz w:val="28"/>
          <w:szCs w:val="28"/>
          <w:highlight w:val="none"/>
          <w:u w:val="none"/>
        </w:rPr>
      </w:pPr>
    </w:p>
    <w:p w14:paraId="5BBBD98C">
      <w:pPr>
        <w:pStyle w:val="20"/>
        <w:pageBreakBefore w:val="0"/>
        <w:kinsoku/>
        <w:wordWrap/>
        <w:overflowPunct/>
        <w:topLinePunct w:val="0"/>
        <w:bidi w:val="0"/>
        <w:spacing w:line="400" w:lineRule="exact"/>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rPr>
        <w:t>附件1: 报价一览表</w:t>
      </w:r>
    </w:p>
    <w:p w14:paraId="402D70FD">
      <w:pPr>
        <w:pStyle w:val="20"/>
        <w:pageBreakBefore w:val="0"/>
        <w:kinsoku/>
        <w:wordWrap/>
        <w:overflowPunct/>
        <w:topLinePunct w:val="0"/>
        <w:bidi w:val="0"/>
        <w:spacing w:line="400" w:lineRule="exact"/>
        <w:rPr>
          <w:rFonts w:hint="eastAsia" w:ascii="仿宋" w:hAnsi="仿宋" w:eastAsia="仿宋" w:cs="仿宋"/>
          <w:b/>
          <w:bCs/>
          <w:sz w:val="28"/>
          <w:szCs w:val="28"/>
          <w:highlight w:val="none"/>
          <w:u w:val="none"/>
          <w:lang w:eastAsia="zh-CN"/>
        </w:rPr>
      </w:pPr>
      <w:r>
        <w:rPr>
          <w:rFonts w:hint="eastAsia" w:ascii="仿宋" w:hAnsi="仿宋" w:eastAsia="仿宋" w:cs="仿宋"/>
          <w:b/>
          <w:bCs/>
          <w:sz w:val="28"/>
          <w:szCs w:val="28"/>
          <w:highlight w:val="none"/>
          <w:u w:val="none"/>
          <w:lang w:eastAsia="zh-CN"/>
        </w:rPr>
        <w:t>项目名称：充电宝项目</w:t>
      </w:r>
    </w:p>
    <w:p w14:paraId="7E510D1C">
      <w:pPr>
        <w:pStyle w:val="20"/>
        <w:pageBreakBefore w:val="0"/>
        <w:kinsoku/>
        <w:wordWrap/>
        <w:overflowPunct/>
        <w:topLinePunct w:val="0"/>
        <w:bidi w:val="0"/>
        <w:spacing w:line="400" w:lineRule="exact"/>
        <w:rPr>
          <w:rFonts w:hint="default"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eastAsia="zh-CN"/>
        </w:rPr>
        <w:t>项目编号：</w:t>
      </w:r>
      <w:r>
        <w:rPr>
          <w:rFonts w:hint="eastAsia" w:ascii="仿宋" w:hAnsi="仿宋" w:eastAsia="仿宋" w:cs="仿宋"/>
          <w:b/>
          <w:bCs/>
          <w:sz w:val="28"/>
          <w:szCs w:val="28"/>
          <w:highlight w:val="none"/>
          <w:u w:val="none"/>
          <w:lang w:val="en-US" w:eastAsia="zh-CN"/>
        </w:rPr>
        <w:t>LSRY-ZB2024-Z002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128"/>
        <w:gridCol w:w="1482"/>
        <w:gridCol w:w="1443"/>
        <w:gridCol w:w="1800"/>
      </w:tblGrid>
      <w:tr w14:paraId="7FA2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6FEF85B7">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序号</w:t>
            </w:r>
          </w:p>
        </w:tc>
        <w:tc>
          <w:tcPr>
            <w:tcW w:w="2128" w:type="dxa"/>
          </w:tcPr>
          <w:p w14:paraId="50756256">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eastAsia="zh-CN"/>
              </w:rPr>
            </w:pPr>
            <w:r>
              <w:rPr>
                <w:rFonts w:hint="eastAsia" w:ascii="仿宋" w:hAnsi="仿宋" w:eastAsia="仿宋" w:cs="仿宋"/>
                <w:highlight w:val="none"/>
                <w:u w:val="none"/>
                <w:vertAlign w:val="baseline"/>
                <w:lang w:eastAsia="zh-CN"/>
              </w:rPr>
              <w:t>产品名称</w:t>
            </w:r>
          </w:p>
        </w:tc>
        <w:tc>
          <w:tcPr>
            <w:tcW w:w="1482" w:type="dxa"/>
          </w:tcPr>
          <w:p w14:paraId="0FD050CD">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eastAsia="zh-CN"/>
              </w:rPr>
            </w:pPr>
            <w:r>
              <w:rPr>
                <w:rFonts w:hint="eastAsia" w:ascii="仿宋" w:hAnsi="仿宋" w:eastAsia="仿宋" w:cs="仿宋"/>
                <w:highlight w:val="none"/>
                <w:u w:val="none"/>
                <w:vertAlign w:val="baseline"/>
                <w:lang w:eastAsia="zh-CN"/>
              </w:rPr>
              <w:t>数量（台）</w:t>
            </w:r>
          </w:p>
        </w:tc>
        <w:tc>
          <w:tcPr>
            <w:tcW w:w="1443" w:type="dxa"/>
          </w:tcPr>
          <w:p w14:paraId="07124014">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eastAsia="zh-CN"/>
              </w:rPr>
            </w:pPr>
            <w:r>
              <w:rPr>
                <w:rFonts w:hint="eastAsia" w:ascii="仿宋" w:hAnsi="仿宋" w:eastAsia="仿宋" w:cs="仿宋"/>
                <w:highlight w:val="none"/>
                <w:u w:val="none"/>
                <w:vertAlign w:val="baseline"/>
                <w:lang w:eastAsia="zh-CN"/>
              </w:rPr>
              <w:t>品牌型号</w:t>
            </w:r>
          </w:p>
        </w:tc>
        <w:tc>
          <w:tcPr>
            <w:tcW w:w="1800" w:type="dxa"/>
          </w:tcPr>
          <w:p w14:paraId="6FD0C89F">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eastAsia="zh-CN"/>
              </w:rPr>
            </w:pPr>
            <w:r>
              <w:rPr>
                <w:rFonts w:hint="eastAsia" w:ascii="仿宋" w:hAnsi="仿宋" w:eastAsia="仿宋" w:cs="仿宋"/>
                <w:highlight w:val="none"/>
                <w:u w:val="none"/>
                <w:vertAlign w:val="baseline"/>
                <w:lang w:eastAsia="zh-CN"/>
              </w:rPr>
              <w:t>单价（元）</w:t>
            </w:r>
          </w:p>
        </w:tc>
      </w:tr>
      <w:tr w14:paraId="460B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06BDC326">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1</w:t>
            </w:r>
          </w:p>
        </w:tc>
        <w:tc>
          <w:tcPr>
            <w:tcW w:w="2128" w:type="dxa"/>
          </w:tcPr>
          <w:p w14:paraId="0735FCE9">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eastAsia="zh-CN"/>
              </w:rPr>
            </w:pPr>
            <w:r>
              <w:rPr>
                <w:rFonts w:hint="eastAsia" w:ascii="仿宋" w:hAnsi="仿宋" w:eastAsia="仿宋" w:cs="仿宋"/>
                <w:highlight w:val="none"/>
                <w:u w:val="none"/>
                <w:vertAlign w:val="baseline"/>
                <w:lang w:eastAsia="zh-CN"/>
              </w:rPr>
              <w:t>充电宝</w:t>
            </w:r>
          </w:p>
        </w:tc>
        <w:tc>
          <w:tcPr>
            <w:tcW w:w="1482" w:type="dxa"/>
          </w:tcPr>
          <w:p w14:paraId="0EA14179">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4</w:t>
            </w:r>
          </w:p>
        </w:tc>
        <w:tc>
          <w:tcPr>
            <w:tcW w:w="1443" w:type="dxa"/>
          </w:tcPr>
          <w:p w14:paraId="15C2A5F7">
            <w:pPr>
              <w:pStyle w:val="24"/>
              <w:pageBreakBefore w:val="0"/>
              <w:kinsoku/>
              <w:wordWrap/>
              <w:overflowPunct/>
              <w:topLinePunct w:val="0"/>
              <w:bidi w:val="0"/>
              <w:spacing w:line="400" w:lineRule="exact"/>
              <w:jc w:val="both"/>
              <w:rPr>
                <w:rFonts w:hint="default"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24口20盒</w:t>
            </w:r>
          </w:p>
        </w:tc>
        <w:tc>
          <w:tcPr>
            <w:tcW w:w="1800" w:type="dxa"/>
          </w:tcPr>
          <w:p w14:paraId="10736D0D">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rPr>
            </w:pPr>
          </w:p>
        </w:tc>
      </w:tr>
      <w:tr w14:paraId="32B6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14B32DEC">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2</w:t>
            </w:r>
          </w:p>
        </w:tc>
        <w:tc>
          <w:tcPr>
            <w:tcW w:w="2128" w:type="dxa"/>
          </w:tcPr>
          <w:p w14:paraId="7CEC21DC">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rPr>
            </w:pPr>
            <w:r>
              <w:rPr>
                <w:rFonts w:hint="eastAsia" w:ascii="仿宋" w:hAnsi="仿宋" w:eastAsia="仿宋" w:cs="仿宋"/>
                <w:highlight w:val="none"/>
                <w:u w:val="none"/>
                <w:vertAlign w:val="baseline"/>
                <w:lang w:eastAsia="zh-CN"/>
              </w:rPr>
              <w:t>充电宝</w:t>
            </w:r>
          </w:p>
        </w:tc>
        <w:tc>
          <w:tcPr>
            <w:tcW w:w="1482" w:type="dxa"/>
          </w:tcPr>
          <w:p w14:paraId="7FAC63B3">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1</w:t>
            </w:r>
          </w:p>
        </w:tc>
        <w:tc>
          <w:tcPr>
            <w:tcW w:w="1443" w:type="dxa"/>
          </w:tcPr>
          <w:p w14:paraId="321EC5AB">
            <w:pPr>
              <w:pStyle w:val="24"/>
              <w:pageBreakBefore w:val="0"/>
              <w:kinsoku/>
              <w:wordWrap/>
              <w:overflowPunct/>
              <w:topLinePunct w:val="0"/>
              <w:bidi w:val="0"/>
              <w:spacing w:line="400" w:lineRule="exact"/>
              <w:jc w:val="both"/>
              <w:rPr>
                <w:rFonts w:hint="default"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6口5盒</w:t>
            </w:r>
          </w:p>
        </w:tc>
        <w:tc>
          <w:tcPr>
            <w:tcW w:w="1800" w:type="dxa"/>
          </w:tcPr>
          <w:p w14:paraId="29F05C75">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rPr>
            </w:pPr>
          </w:p>
        </w:tc>
      </w:tr>
      <w:tr w14:paraId="3ED3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42672556">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总计</w:t>
            </w:r>
          </w:p>
        </w:tc>
        <w:tc>
          <w:tcPr>
            <w:tcW w:w="6853" w:type="dxa"/>
            <w:gridSpan w:val="4"/>
          </w:tcPr>
          <w:p w14:paraId="51111792">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rPr>
            </w:pPr>
          </w:p>
        </w:tc>
      </w:tr>
      <w:tr w14:paraId="7ED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12CA13E5">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lang w:val="en-US" w:eastAsia="zh-CN"/>
              </w:rPr>
            </w:pPr>
            <w:r>
              <w:rPr>
                <w:rFonts w:hint="eastAsia" w:ascii="仿宋" w:hAnsi="仿宋" w:eastAsia="仿宋" w:cs="仿宋"/>
                <w:highlight w:val="none"/>
                <w:u w:val="none"/>
                <w:vertAlign w:val="baseline"/>
                <w:lang w:val="en-US" w:eastAsia="zh-CN"/>
              </w:rPr>
              <w:t>收费标准</w:t>
            </w:r>
          </w:p>
        </w:tc>
        <w:tc>
          <w:tcPr>
            <w:tcW w:w="6853" w:type="dxa"/>
            <w:gridSpan w:val="4"/>
          </w:tcPr>
          <w:p w14:paraId="2FBA99DA">
            <w:pPr>
              <w:pStyle w:val="24"/>
              <w:pageBreakBefore w:val="0"/>
              <w:kinsoku/>
              <w:wordWrap/>
              <w:overflowPunct/>
              <w:topLinePunct w:val="0"/>
              <w:bidi w:val="0"/>
              <w:spacing w:line="400" w:lineRule="exact"/>
              <w:jc w:val="both"/>
              <w:rPr>
                <w:rFonts w:hint="eastAsia" w:ascii="仿宋" w:hAnsi="仿宋" w:eastAsia="仿宋" w:cs="仿宋"/>
                <w:highlight w:val="none"/>
                <w:u w:val="none"/>
                <w:vertAlign w:val="baseline"/>
              </w:rPr>
            </w:pPr>
          </w:p>
        </w:tc>
      </w:tr>
    </w:tbl>
    <w:p w14:paraId="333922F6">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法定代表人或代理人（签字或盖章）：</w:t>
      </w:r>
    </w:p>
    <w:p w14:paraId="76AAFA98">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单位名称：</w:t>
      </w:r>
    </w:p>
    <w:p w14:paraId="44B5B52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报价日期：</w:t>
      </w:r>
    </w:p>
    <w:p w14:paraId="020E914D">
      <w:pPr>
        <w:pStyle w:val="24"/>
        <w:pageBreakBefore w:val="0"/>
        <w:kinsoku/>
        <w:wordWrap/>
        <w:overflowPunct/>
        <w:topLinePunct w:val="0"/>
        <w:bidi w:val="0"/>
        <w:spacing w:line="400" w:lineRule="exact"/>
        <w:ind w:firstLine="361"/>
        <w:rPr>
          <w:rFonts w:hint="eastAsia" w:ascii="仿宋" w:hAnsi="仿宋" w:eastAsia="仿宋" w:cs="仿宋"/>
          <w:highlight w:val="none"/>
          <w:u w:val="none"/>
        </w:rPr>
      </w:pPr>
    </w:p>
    <w:p w14:paraId="370A477E">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注：报价须包含配件费、人工费、上门费等一切含税费用，供应商不再另外收取费用。</w:t>
      </w:r>
    </w:p>
    <w:p w14:paraId="13A372BD">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p>
    <w:p w14:paraId="2A59C3C5">
      <w:pPr>
        <w:pStyle w:val="20"/>
        <w:pageBreakBefore w:val="0"/>
        <w:kinsoku/>
        <w:wordWrap/>
        <w:overflowPunct/>
        <w:topLinePunct w:val="0"/>
        <w:bidi w:val="0"/>
        <w:spacing w:line="400" w:lineRule="exact"/>
        <w:rPr>
          <w:rFonts w:hint="eastAsia" w:ascii="仿宋" w:hAnsi="仿宋" w:eastAsia="仿宋" w:cs="仿宋"/>
          <w:b/>
          <w:bCs/>
          <w:sz w:val="28"/>
          <w:szCs w:val="28"/>
          <w:highlight w:val="none"/>
          <w:u w:val="none"/>
          <w:lang w:val="zh-CN"/>
        </w:rPr>
      </w:pPr>
      <w:r>
        <w:rPr>
          <w:rFonts w:hint="eastAsia" w:ascii="仿宋" w:hAnsi="仿宋" w:eastAsia="仿宋" w:cs="仿宋"/>
          <w:b/>
          <w:bCs/>
          <w:sz w:val="28"/>
          <w:szCs w:val="28"/>
          <w:highlight w:val="none"/>
          <w:u w:val="none"/>
          <w:lang w:eastAsia="zh-CN"/>
        </w:rPr>
        <w:t>附件</w:t>
      </w:r>
      <w:r>
        <w:rPr>
          <w:rFonts w:hint="eastAsia" w:ascii="仿宋" w:hAnsi="仿宋" w:eastAsia="仿宋" w:cs="仿宋"/>
          <w:b/>
          <w:bCs/>
          <w:sz w:val="28"/>
          <w:szCs w:val="28"/>
          <w:highlight w:val="none"/>
          <w:u w:val="none"/>
          <w:lang w:val="en-US" w:eastAsia="zh-CN"/>
        </w:rPr>
        <w:t xml:space="preserve">2： </w:t>
      </w:r>
      <w:r>
        <w:rPr>
          <w:rFonts w:hint="eastAsia" w:ascii="仿宋" w:hAnsi="仿宋" w:eastAsia="仿宋" w:cs="仿宋"/>
          <w:b/>
          <w:bCs/>
          <w:sz w:val="28"/>
          <w:szCs w:val="28"/>
          <w:highlight w:val="none"/>
          <w:u w:val="none"/>
        </w:rPr>
        <w:t>采购内容及要求条款</w:t>
      </w:r>
      <w:r>
        <w:rPr>
          <w:rFonts w:hint="eastAsia" w:ascii="仿宋" w:hAnsi="仿宋" w:eastAsia="仿宋" w:cs="仿宋"/>
          <w:b/>
          <w:bCs/>
          <w:sz w:val="28"/>
          <w:szCs w:val="28"/>
          <w:highlight w:val="none"/>
          <w:u w:val="none"/>
          <w:lang w:val="zh-CN"/>
        </w:rPr>
        <w:t>偏离表格式</w:t>
      </w:r>
    </w:p>
    <w:p w14:paraId="41C0E008">
      <w:pPr>
        <w:pageBreakBefore w:val="0"/>
        <w:kinsoku/>
        <w:wordWrap/>
        <w:overflowPunct/>
        <w:topLinePunct w:val="0"/>
        <w:bidi w:val="0"/>
        <w:spacing w:line="400" w:lineRule="exact"/>
        <w:ind w:firstLine="2800" w:firstLineChars="100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采购内容及要求条款偏离表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48576C3C">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48D1CEB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项目名称：</w:t>
            </w:r>
          </w:p>
        </w:tc>
        <w:tc>
          <w:tcPr>
            <w:tcW w:w="2939" w:type="dxa"/>
            <w:gridSpan w:val="3"/>
            <w:tcBorders>
              <w:top w:val="nil"/>
              <w:left w:val="nil"/>
              <w:bottom w:val="single" w:color="auto" w:sz="6" w:space="0"/>
              <w:right w:val="nil"/>
            </w:tcBorders>
            <w:vAlign w:val="center"/>
          </w:tcPr>
          <w:p w14:paraId="23D9B111">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536" w:type="dxa"/>
            <w:tcBorders>
              <w:top w:val="nil"/>
              <w:left w:val="nil"/>
              <w:bottom w:val="single" w:color="auto" w:sz="6" w:space="0"/>
              <w:right w:val="nil"/>
            </w:tcBorders>
            <w:vAlign w:val="center"/>
          </w:tcPr>
          <w:p w14:paraId="01153E5A">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p w14:paraId="630F45D0">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kern w:val="0"/>
                <w:highlight w:val="none"/>
                <w:u w:val="none"/>
                <w:lang w:val="zh-CN"/>
              </w:rPr>
            </w:pPr>
            <w:r>
              <w:rPr>
                <w:rFonts w:hint="eastAsia" w:ascii="仿宋" w:hAnsi="仿宋" w:eastAsia="仿宋" w:cs="仿宋"/>
                <w:b w:val="0"/>
                <w:bCs w:val="0"/>
                <w:kern w:val="0"/>
                <w:highlight w:val="none"/>
                <w:u w:val="none"/>
                <w:lang w:val="zh-CN"/>
              </w:rPr>
              <w:t>项目编号：</w:t>
            </w:r>
            <w:r>
              <w:rPr>
                <w:rFonts w:hint="eastAsia" w:ascii="仿宋" w:hAnsi="仿宋" w:eastAsia="仿宋" w:cs="仿宋"/>
                <w:b w:val="0"/>
                <w:bCs w:val="0"/>
                <w:highlight w:val="none"/>
                <w:u w:val="none"/>
                <w:lang w:val="zh-CN"/>
              </w:rPr>
              <w:t xml:space="preserve">              </w:t>
            </w:r>
          </w:p>
        </w:tc>
      </w:tr>
      <w:tr w14:paraId="09B5A65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1C73C28">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2614A985">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7374E9C1">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3ED00ED">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rPr>
            </w:pPr>
            <w:r>
              <w:rPr>
                <w:rFonts w:hint="eastAsia" w:ascii="仿宋" w:hAnsi="仿宋" w:eastAsia="仿宋" w:cs="仿宋"/>
                <w:b w:val="0"/>
                <w:bCs w:val="0"/>
                <w:highlight w:val="none"/>
                <w:u w:val="none"/>
                <w:lang w:val="zh-CN"/>
              </w:rPr>
              <w:t>供应商响应</w:t>
            </w:r>
            <w:r>
              <w:rPr>
                <w:rFonts w:hint="eastAsia" w:ascii="仿宋" w:hAnsi="仿宋" w:eastAsia="仿宋" w:cs="仿宋"/>
                <w:b w:val="0"/>
                <w:bCs w:val="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0431CE">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5FE9204">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证明材料对应页码</w:t>
            </w:r>
          </w:p>
        </w:tc>
      </w:tr>
      <w:tr w14:paraId="63BAA32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3D726B6">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2389C829">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rPr>
              <w:t>服务标准及要求</w:t>
            </w:r>
            <w:r>
              <w:rPr>
                <w:rFonts w:hint="eastAsia" w:ascii="仿宋" w:hAnsi="仿宋" w:eastAsia="仿宋" w:cs="仿宋"/>
                <w:b w:val="0"/>
                <w:bCs w:val="0"/>
                <w:highlight w:val="none"/>
                <w:u w:val="none"/>
                <w:lang w:eastAsia="zh-CN"/>
              </w:rPr>
              <w:t>，</w:t>
            </w:r>
            <w:r>
              <w:rPr>
                <w:rFonts w:hint="eastAsia" w:ascii="仿宋" w:hAnsi="仿宋" w:eastAsia="仿宋" w:cs="仿宋"/>
                <w:b w:val="0"/>
                <w:bCs w:val="0"/>
                <w:highlight w:val="none"/>
                <w:u w:val="none"/>
                <w:lang w:val="en-US" w:eastAsia="zh-CN"/>
              </w:rPr>
              <w:t>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48E287EA">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6660AF4">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9182BA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3150894">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2F99623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8DD343B">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4C27005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BA5821F">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F0F75F2">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143A385">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47E0994">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73697FEB">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637CFF6">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2C2F9651">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3658E30">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8C8A5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36BD3F3">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AB174A2">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2EC83B2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D5163D">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49C166CD">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C94C5CF">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B60B809">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1A133AA">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6458518">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3848E0A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132AF0F">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285DEF78">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444F4BE">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FCAC478">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568B1A7">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137870C">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1CD3C0D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163B7D9">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16DAC3A5">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049D9A2">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3192BA6">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E884E36">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EEB4578">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39C3BD5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F63189D">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7D71A0E7">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0E90830">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8527B">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E1883E3">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5924C6D">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14:paraId="5E56907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63AC99C">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2BB1A4DE">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EE8146">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61DDD52">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A61405E">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1F7A0F5">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bl>
    <w:p w14:paraId="5531748D">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 xml:space="preserve">供应商名称（盖章）： </w:t>
      </w:r>
    </w:p>
    <w:p w14:paraId="1510AE33">
      <w:pPr>
        <w:pageBreakBefore w:val="0"/>
        <w:kinsoku/>
        <w:wordWrap/>
        <w:overflowPunct/>
        <w:topLinePunct w:val="0"/>
        <w:bidi w:val="0"/>
        <w:spacing w:line="400" w:lineRule="exact"/>
        <w:ind w:firstLine="560"/>
        <w:rPr>
          <w:rFonts w:hint="eastAsia" w:ascii="仿宋" w:hAnsi="仿宋" w:eastAsia="仿宋" w:cs="仿宋"/>
          <w:b w:val="0"/>
          <w:bCs w:val="0"/>
          <w:color w:val="91ACE0" w:themeColor="accent1" w:themeTint="99"/>
          <w:highlight w:val="none"/>
          <w:u w:val="none"/>
          <w:lang w:val="zh-CN"/>
          <w14:textFill>
            <w14:solidFill>
              <w14:schemeClr w14:val="accent1">
                <w14:lumMod w14:val="60000"/>
                <w14:lumOff w14:val="40000"/>
              </w14:schemeClr>
            </w14:solidFill>
          </w14:textFill>
        </w:rPr>
      </w:pPr>
      <w:r>
        <w:rPr>
          <w:rFonts w:hint="eastAsia" w:ascii="仿宋" w:hAnsi="仿宋" w:eastAsia="仿宋" w:cs="仿宋"/>
          <w:b w:val="0"/>
          <w:bCs w:val="0"/>
          <w:highlight w:val="none"/>
          <w:u w:val="none"/>
          <w:lang w:val="zh-CN"/>
        </w:rPr>
        <w:t>说明：如果行数不够，请自行增加。请供应商对招标文件内的技术条款进行逐条响应</w:t>
      </w:r>
      <w:r>
        <w:rPr>
          <w:rFonts w:hint="eastAsia" w:ascii="仿宋" w:hAnsi="仿宋" w:eastAsia="仿宋" w:cs="仿宋"/>
          <w:b w:val="0"/>
          <w:bCs w:val="0"/>
          <w:highlight w:val="none"/>
          <w:u w:val="none"/>
        </w:rPr>
        <w:t>/正偏离/负偏离，不得缺</w:t>
      </w:r>
      <w:r>
        <w:rPr>
          <w:rFonts w:hint="eastAsia" w:cs="仿宋"/>
          <w:b w:val="0"/>
          <w:bCs w:val="0"/>
          <w:highlight w:val="none"/>
          <w:u w:val="none"/>
          <w:lang w:eastAsia="zh-CN"/>
        </w:rPr>
        <w:t>页</w:t>
      </w:r>
      <w:r>
        <w:rPr>
          <w:rFonts w:hint="eastAsia" w:ascii="仿宋" w:hAnsi="仿宋" w:eastAsia="仿宋" w:cs="仿宋"/>
          <w:b w:val="0"/>
          <w:bCs w:val="0"/>
          <w:highlight w:val="none"/>
          <w:u w:val="none"/>
        </w:rPr>
        <w:t>漏项</w:t>
      </w:r>
      <w:r>
        <w:rPr>
          <w:rFonts w:hint="eastAsia" w:ascii="仿宋" w:hAnsi="仿宋" w:eastAsia="仿宋" w:cs="仿宋"/>
          <w:b w:val="0"/>
          <w:bCs w:val="0"/>
          <w:highlight w:val="none"/>
          <w:u w:val="none"/>
          <w:lang w:val="zh-CN"/>
        </w:rPr>
        <w:t>。</w:t>
      </w:r>
    </w:p>
    <w:p w14:paraId="10C033AC">
      <w:pPr>
        <w:pStyle w:val="20"/>
        <w:pageBreakBefore w:val="0"/>
        <w:kinsoku/>
        <w:wordWrap/>
        <w:overflowPunct/>
        <w:topLinePunct w:val="0"/>
        <w:bidi w:val="0"/>
        <w:spacing w:line="400" w:lineRule="exact"/>
        <w:rPr>
          <w:rFonts w:hint="eastAsia" w:ascii="仿宋" w:hAnsi="仿宋" w:eastAsia="仿宋" w:cs="仿宋"/>
          <w:sz w:val="28"/>
          <w:szCs w:val="28"/>
          <w:highlight w:val="none"/>
          <w:u w:val="none"/>
        </w:rPr>
      </w:pPr>
    </w:p>
    <w:p w14:paraId="691D2A18">
      <w:pPr>
        <w:pStyle w:val="20"/>
        <w:pageBreakBefore w:val="0"/>
        <w:kinsoku/>
        <w:wordWrap/>
        <w:overflowPunct/>
        <w:topLinePunct w:val="0"/>
        <w:bidi w:val="0"/>
        <w:spacing w:line="400" w:lineRule="exact"/>
        <w:rPr>
          <w:rFonts w:hint="eastAsia" w:ascii="仿宋" w:hAnsi="仿宋" w:eastAsia="仿宋" w:cs="仿宋"/>
          <w:b/>
          <w:bCs/>
          <w:highlight w:val="none"/>
          <w:u w:val="none"/>
        </w:rPr>
      </w:pPr>
      <w:r>
        <w:rPr>
          <w:rFonts w:hint="eastAsia" w:ascii="仿宋" w:hAnsi="仿宋" w:eastAsia="仿宋" w:cs="仿宋"/>
          <w:b/>
          <w:bCs/>
          <w:sz w:val="28"/>
          <w:szCs w:val="28"/>
          <w:highlight w:val="none"/>
          <w:u w:val="none"/>
        </w:rPr>
        <w:t>附件</w:t>
      </w:r>
      <w:r>
        <w:rPr>
          <w:rFonts w:hint="eastAsia" w:ascii="仿宋" w:hAnsi="仿宋" w:eastAsia="仿宋" w:cs="仿宋"/>
          <w:b/>
          <w:bCs/>
          <w:sz w:val="28"/>
          <w:szCs w:val="28"/>
          <w:highlight w:val="none"/>
          <w:u w:val="none"/>
          <w:lang w:val="en-US" w:eastAsia="zh-CN"/>
        </w:rPr>
        <w:t>3</w:t>
      </w:r>
      <w:r>
        <w:rPr>
          <w:rFonts w:hint="eastAsia" w:ascii="仿宋" w:hAnsi="仿宋" w:eastAsia="仿宋" w:cs="仿宋"/>
          <w:b/>
          <w:bCs/>
          <w:sz w:val="28"/>
          <w:szCs w:val="28"/>
          <w:highlight w:val="none"/>
          <w:u w:val="none"/>
        </w:rPr>
        <w:t>：拟签订合同文本（供参考）</w:t>
      </w:r>
    </w:p>
    <w:p w14:paraId="3253FEA7">
      <w:pPr>
        <w:pageBreakBefore w:val="0"/>
        <w:kinsoku/>
        <w:wordWrap/>
        <w:overflowPunct/>
        <w:topLinePunct w:val="0"/>
        <w:autoSpaceDE w:val="0"/>
        <w:autoSpaceDN w:val="0"/>
        <w:bidi w:val="0"/>
        <w:adjustRightInd w:val="0"/>
        <w:spacing w:line="400" w:lineRule="exact"/>
        <w:jc w:val="center"/>
        <w:rPr>
          <w:rFonts w:hint="eastAsia" w:ascii="仿宋" w:hAnsi="仿宋" w:eastAsia="仿宋" w:cs="仿宋"/>
          <w:sz w:val="28"/>
          <w:szCs w:val="28"/>
          <w:highlight w:val="none"/>
        </w:rPr>
      </w:pPr>
    </w:p>
    <w:p w14:paraId="3FCC87D4">
      <w:pPr>
        <w:pStyle w:val="6"/>
        <w:spacing w:line="280" w:lineRule="exact"/>
        <w:ind w:firstLine="360" w:firstLineChars="200"/>
        <w:rPr>
          <w:rFonts w:hint="eastAsia" w:ascii="宋体" w:hAnsi="宋体" w:cs="宋体"/>
          <w:b w:val="0"/>
          <w:bCs w:val="0"/>
          <w:sz w:val="18"/>
          <w:szCs w:val="18"/>
          <w:u w:val="none"/>
          <w:lang w:val="zh-CN"/>
        </w:rPr>
      </w:pPr>
      <w:r>
        <w:rPr>
          <w:rFonts w:hint="eastAsia" w:ascii="宋体" w:hAnsi="宋体" w:cs="宋体"/>
          <w:b w:val="0"/>
          <w:bCs w:val="0"/>
          <w:sz w:val="18"/>
          <w:szCs w:val="18"/>
          <w:u w:val="none"/>
          <w:lang w:val="zh-CN"/>
        </w:rPr>
        <w:t>甲乙双方本着平等、诚实信用的原则，为了提高患者满意度，促进便民服务，甲方根据《中华人民共和国民法典》及相关法律法规规章，就充电宝的相关事宜，经双方协商一致，达成如下具体合作协议：</w:t>
      </w:r>
    </w:p>
    <w:p w14:paraId="52741714">
      <w:pPr>
        <w:numPr>
          <w:ilvl w:val="0"/>
          <w:numId w:val="3"/>
        </w:num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服务期限：</w:t>
      </w:r>
      <w:r>
        <w:rPr>
          <w:rFonts w:hint="eastAsia" w:ascii="宋体" w:hAnsi="宋体" w:cs="宋体"/>
          <w:b w:val="0"/>
          <w:bCs w:val="0"/>
          <w:sz w:val="18"/>
          <w:szCs w:val="18"/>
          <w:u w:val="none"/>
          <w:lang w:eastAsia="zh-CN"/>
        </w:rPr>
        <w:t>一招三年，合同一年一签。</w:t>
      </w:r>
    </w:p>
    <w:p w14:paraId="2865CF97">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二、合同标的：</w:t>
      </w:r>
    </w:p>
    <w:p w14:paraId="628525F1">
      <w:pPr>
        <w:snapToGrid w:val="0"/>
        <w:spacing w:line="280" w:lineRule="exact"/>
        <w:rPr>
          <w:rFonts w:hint="eastAsia" w:ascii="宋体" w:hAnsi="宋体" w:cs="宋体"/>
          <w:b w:val="0"/>
          <w:bCs w:val="0"/>
          <w:sz w:val="18"/>
          <w:szCs w:val="18"/>
          <w:u w:val="none"/>
          <w:lang w:eastAsia="zh-CN"/>
        </w:rPr>
      </w:pPr>
      <w:r>
        <w:rPr>
          <w:rFonts w:hint="eastAsia" w:ascii="宋体" w:hAnsi="宋体" w:cs="宋体"/>
          <w:b w:val="0"/>
          <w:bCs w:val="0"/>
          <w:sz w:val="18"/>
          <w:szCs w:val="18"/>
          <w:u w:val="none"/>
        </w:rPr>
        <w:t>项目名称：</w:t>
      </w:r>
      <w:r>
        <w:rPr>
          <w:rFonts w:hint="eastAsia" w:ascii="宋体" w:hAnsi="宋体" w:cs="宋体"/>
          <w:b w:val="0"/>
          <w:bCs w:val="0"/>
          <w:sz w:val="18"/>
          <w:szCs w:val="18"/>
          <w:u w:val="none"/>
          <w:lang w:eastAsia="zh-CN"/>
        </w:rPr>
        <w:t>充电宝</w:t>
      </w:r>
    </w:p>
    <w:p w14:paraId="013198EE">
      <w:pPr>
        <w:snapToGrid w:val="0"/>
        <w:spacing w:line="280" w:lineRule="exact"/>
        <w:rPr>
          <w:rFonts w:hint="eastAsia" w:ascii="宋体" w:hAnsi="宋体" w:cs="宋体"/>
          <w:b w:val="0"/>
          <w:bCs w:val="0"/>
          <w:sz w:val="18"/>
          <w:szCs w:val="18"/>
          <w:u w:val="none"/>
        </w:rPr>
      </w:pPr>
      <w:r>
        <w:rPr>
          <w:rFonts w:hint="eastAsia" w:ascii="宋体" w:hAnsi="宋体" w:cs="宋体"/>
          <w:b w:val="0"/>
          <w:bCs w:val="0"/>
          <w:sz w:val="18"/>
          <w:szCs w:val="18"/>
          <w:u w:val="none"/>
        </w:rPr>
        <w:t>项目地点：急诊大厅自助售卖机、门诊大厅东侧自助扶梯下面、住院部大厅、检验科候诊厅、发热门诊区域</w:t>
      </w:r>
    </w:p>
    <w:p w14:paraId="21F7AF60">
      <w:pPr>
        <w:snapToGrid w:val="0"/>
        <w:spacing w:line="280" w:lineRule="exact"/>
        <w:rPr>
          <w:rFonts w:hint="default" w:ascii="宋体" w:hAnsi="宋体" w:cs="宋体"/>
          <w:b w:val="0"/>
          <w:bCs w:val="0"/>
          <w:sz w:val="18"/>
          <w:szCs w:val="18"/>
          <w:u w:val="none"/>
          <w:lang w:val="en-US" w:eastAsia="zh-CN"/>
        </w:rPr>
      </w:pPr>
      <w:r>
        <w:rPr>
          <w:rFonts w:hint="eastAsia" w:ascii="宋体" w:hAnsi="宋体" w:cs="宋体"/>
          <w:b w:val="0"/>
          <w:bCs w:val="0"/>
          <w:sz w:val="18"/>
          <w:szCs w:val="18"/>
          <w:u w:val="none"/>
        </w:rPr>
        <w:t>服务内容：乙方提供四台24口20盒的大机及一台6口5盒小机（发热门诊区域）。收费标准为</w:t>
      </w:r>
      <w:r>
        <w:rPr>
          <w:rFonts w:hint="eastAsia" w:ascii="宋体" w:hAnsi="宋体" w:cs="宋体"/>
          <w:b w:val="0"/>
          <w:bCs w:val="0"/>
          <w:sz w:val="18"/>
          <w:szCs w:val="18"/>
          <w:u w:val="none"/>
          <w:lang w:val="en-US" w:eastAsia="zh-CN"/>
        </w:rPr>
        <w:t xml:space="preserve">     </w:t>
      </w:r>
      <w:r>
        <w:rPr>
          <w:rFonts w:hint="eastAsia" w:ascii="宋体" w:hAnsi="宋体" w:cs="宋体"/>
          <w:b w:val="0"/>
          <w:bCs w:val="0"/>
          <w:sz w:val="18"/>
          <w:szCs w:val="18"/>
          <w:u w:val="none"/>
        </w:rPr>
        <w:t>元/半小时</w:t>
      </w:r>
      <w:r>
        <w:rPr>
          <w:rFonts w:hint="eastAsia" w:ascii="宋体" w:hAnsi="宋体" w:cs="宋体"/>
          <w:b w:val="0"/>
          <w:bCs w:val="0"/>
          <w:sz w:val="18"/>
          <w:szCs w:val="18"/>
          <w:u w:val="none"/>
          <w:lang w:val="en-US" w:eastAsia="zh-CN"/>
        </w:rPr>
        <w:t>。</w:t>
      </w:r>
    </w:p>
    <w:p w14:paraId="721D945C">
      <w:pPr>
        <w:snapToGrid w:val="0"/>
        <w:spacing w:line="280" w:lineRule="exact"/>
        <w:rPr>
          <w:rFonts w:hint="eastAsia" w:ascii="宋体" w:hAnsi="宋体" w:cs="宋体"/>
          <w:b w:val="0"/>
          <w:bCs w:val="0"/>
          <w:sz w:val="18"/>
          <w:szCs w:val="18"/>
          <w:u w:val="none"/>
        </w:rPr>
      </w:pPr>
      <w:r>
        <w:rPr>
          <w:rFonts w:hint="eastAsia" w:ascii="宋体" w:hAnsi="宋体" w:cs="宋体"/>
          <w:b w:val="0"/>
          <w:bCs w:val="0"/>
          <w:sz w:val="18"/>
          <w:szCs w:val="18"/>
          <w:u w:val="none"/>
        </w:rPr>
        <w:t>合同总价：2</w:t>
      </w:r>
      <w:r>
        <w:rPr>
          <w:rFonts w:ascii="宋体" w:hAnsi="宋体" w:cs="宋体"/>
          <w:b w:val="0"/>
          <w:bCs w:val="0"/>
          <w:sz w:val="18"/>
          <w:szCs w:val="18"/>
          <w:u w:val="none"/>
        </w:rPr>
        <w:t>4</w:t>
      </w:r>
      <w:r>
        <w:rPr>
          <w:rFonts w:hint="eastAsia" w:ascii="宋体" w:hAnsi="宋体" w:cs="宋体"/>
          <w:b w:val="0"/>
          <w:bCs w:val="0"/>
          <w:sz w:val="18"/>
          <w:szCs w:val="18"/>
          <w:u w:val="none"/>
        </w:rPr>
        <w:t>口2</w:t>
      </w:r>
      <w:r>
        <w:rPr>
          <w:rFonts w:ascii="宋体" w:hAnsi="宋体" w:cs="宋体"/>
          <w:b w:val="0"/>
          <w:bCs w:val="0"/>
          <w:sz w:val="18"/>
          <w:szCs w:val="18"/>
          <w:u w:val="none"/>
        </w:rPr>
        <w:t>0</w:t>
      </w:r>
      <w:r>
        <w:rPr>
          <w:rFonts w:hint="eastAsia" w:ascii="宋体" w:hAnsi="宋体" w:cs="宋体"/>
          <w:b w:val="0"/>
          <w:bCs w:val="0"/>
          <w:sz w:val="18"/>
          <w:szCs w:val="18"/>
          <w:u w:val="none"/>
        </w:rPr>
        <w:t>盒大机的电费成本为</w:t>
      </w:r>
      <w:r>
        <w:rPr>
          <w:rFonts w:hint="eastAsia" w:ascii="宋体" w:hAnsi="宋体" w:cs="宋体"/>
          <w:b w:val="0"/>
          <w:bCs w:val="0"/>
          <w:sz w:val="18"/>
          <w:szCs w:val="18"/>
          <w:u w:val="none"/>
          <w:lang w:val="en-US" w:eastAsia="zh-CN"/>
        </w:rPr>
        <w:t xml:space="preserve">    </w:t>
      </w:r>
      <w:r>
        <w:rPr>
          <w:rFonts w:hint="eastAsia" w:ascii="宋体" w:hAnsi="宋体" w:cs="宋体"/>
          <w:b w:val="0"/>
          <w:bCs w:val="0"/>
          <w:sz w:val="18"/>
          <w:szCs w:val="18"/>
          <w:u w:val="none"/>
        </w:rPr>
        <w:t>元/年/台，6口5盒的小机电费成本为</w:t>
      </w:r>
      <w:r>
        <w:rPr>
          <w:rFonts w:hint="eastAsia" w:ascii="宋体" w:hAnsi="宋体" w:cs="宋体"/>
          <w:b w:val="0"/>
          <w:bCs w:val="0"/>
          <w:sz w:val="18"/>
          <w:szCs w:val="18"/>
          <w:u w:val="none"/>
          <w:lang w:val="en-US" w:eastAsia="zh-CN"/>
        </w:rPr>
        <w:t xml:space="preserve">    </w:t>
      </w:r>
      <w:r>
        <w:rPr>
          <w:rFonts w:hint="eastAsia" w:ascii="宋体" w:hAnsi="宋体" w:cs="宋体"/>
          <w:b w:val="0"/>
          <w:bCs w:val="0"/>
          <w:sz w:val="18"/>
          <w:szCs w:val="18"/>
          <w:u w:val="none"/>
        </w:rPr>
        <w:t>元/年/台</w:t>
      </w:r>
      <w:r>
        <w:rPr>
          <w:rFonts w:hint="eastAsia" w:ascii="宋体" w:hAnsi="宋体" w:cs="宋体"/>
          <w:b w:val="0"/>
          <w:bCs w:val="0"/>
          <w:sz w:val="18"/>
          <w:szCs w:val="18"/>
          <w:u w:val="none"/>
          <w:lang w:val="en-US" w:eastAsia="zh-CN"/>
        </w:rPr>
        <w:t>，</w:t>
      </w:r>
      <w:r>
        <w:rPr>
          <w:rFonts w:hint="eastAsia" w:ascii="宋体" w:hAnsi="宋体" w:cs="宋体"/>
          <w:b w:val="0"/>
          <w:bCs w:val="0"/>
          <w:sz w:val="18"/>
          <w:szCs w:val="18"/>
          <w:u w:val="none"/>
        </w:rPr>
        <w:t>总价为</w:t>
      </w:r>
      <w:r>
        <w:rPr>
          <w:rFonts w:hint="eastAsia" w:ascii="宋体" w:hAnsi="宋体" w:cs="宋体"/>
          <w:b w:val="0"/>
          <w:bCs w:val="0"/>
          <w:sz w:val="18"/>
          <w:szCs w:val="18"/>
          <w:u w:val="none"/>
          <w:lang w:val="en-US" w:eastAsia="zh-CN"/>
        </w:rPr>
        <w:t xml:space="preserve">    </w:t>
      </w:r>
      <w:r>
        <w:rPr>
          <w:rFonts w:hint="eastAsia" w:ascii="宋体" w:hAnsi="宋体" w:cs="宋体"/>
          <w:b w:val="0"/>
          <w:bCs w:val="0"/>
          <w:sz w:val="18"/>
          <w:szCs w:val="18"/>
          <w:u w:val="none"/>
        </w:rPr>
        <w:t>元（大写人民币：</w:t>
      </w:r>
      <w:r>
        <w:rPr>
          <w:rFonts w:hint="eastAsia" w:ascii="宋体" w:hAnsi="宋体" w:cs="宋体"/>
          <w:b w:val="0"/>
          <w:bCs w:val="0"/>
          <w:sz w:val="18"/>
          <w:szCs w:val="18"/>
          <w:u w:val="none"/>
          <w:lang w:val="en-US" w:eastAsia="zh-CN"/>
        </w:rPr>
        <w:t xml:space="preserve">       </w:t>
      </w:r>
      <w:r>
        <w:rPr>
          <w:rFonts w:hint="eastAsia" w:ascii="宋体" w:hAnsi="宋体" w:cs="宋体"/>
          <w:b w:val="0"/>
          <w:bCs w:val="0"/>
          <w:sz w:val="18"/>
          <w:szCs w:val="18"/>
          <w:u w:val="none"/>
        </w:rPr>
        <w:t>元整），电费成本包括设备费、人工费、劳务费、售后服务费、乙方应当提供的伴随服务等。</w:t>
      </w:r>
    </w:p>
    <w:p w14:paraId="2922FB2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eastAsia="仿宋" w:cs="宋体"/>
          <w:b w:val="0"/>
          <w:bCs w:val="0"/>
          <w:sz w:val="18"/>
          <w:szCs w:val="18"/>
          <w:u w:val="none"/>
          <w:lang w:eastAsia="zh-CN"/>
        </w:rPr>
      </w:pPr>
      <w:r>
        <w:rPr>
          <w:rFonts w:hint="eastAsia" w:ascii="宋体" w:hAnsi="宋体" w:cs="宋体"/>
          <w:b w:val="0"/>
          <w:bCs w:val="0"/>
          <w:sz w:val="18"/>
          <w:szCs w:val="18"/>
          <w:u w:val="none"/>
        </w:rPr>
        <w:t>付款方式：</w:t>
      </w:r>
      <w:r>
        <w:rPr>
          <w:rFonts w:hint="eastAsia" w:ascii="宋体" w:hAnsi="宋体" w:cs="宋体"/>
          <w:b w:val="0"/>
          <w:bCs w:val="0"/>
          <w:sz w:val="18"/>
          <w:szCs w:val="18"/>
          <w:u w:val="none"/>
          <w:lang w:eastAsia="zh-CN"/>
        </w:rPr>
        <w:t>按询价文件要求。</w:t>
      </w:r>
    </w:p>
    <w:p w14:paraId="36B44BC5">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三、双方权利义务</w:t>
      </w:r>
    </w:p>
    <w:p w14:paraId="3156FB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双方的权利与义务：</w:t>
      </w:r>
    </w:p>
    <w:p w14:paraId="48370BD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1、甲乙双方对各自的品牌、商标、标志等拥有专有权。甲乙双方在使用对方的品牌、商标、标志前，需经对方书面授权。</w:t>
      </w:r>
    </w:p>
    <w:p w14:paraId="6352295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2、甲乙双方有义务协助用户享受乙方提供的服务，并对相关疑问进行答疑讲解。</w:t>
      </w:r>
    </w:p>
    <w:p w14:paraId="5F29E15D">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甲方的权利与义务：</w:t>
      </w:r>
    </w:p>
    <w:p w14:paraId="3E2B2F78">
      <w:pPr>
        <w:numPr>
          <w:ilvl w:val="0"/>
          <w:numId w:val="4"/>
        </w:num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甲方在其所经营的场所（具体场所地址为：南京市溧水区永阳镇崇文路86号）为乙方提供的充电设备提供合适的摆放位置（即患者可看见、能触碰的位置，如收银台、自助服务台、等座区等），并且保持电源正常连接，充电箱设备等保持有电状态；</w:t>
      </w:r>
    </w:p>
    <w:p w14:paraId="372921C2">
      <w:pPr>
        <w:numPr>
          <w:ilvl w:val="0"/>
          <w:numId w:val="4"/>
        </w:num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甲方没有义务保管充电箱设备，如果设备出现人为损坏、丢失（丢失定义：该设备找不到），乙方自行承担风险。保管事宜双方签订免责条款；</w:t>
      </w:r>
    </w:p>
    <w:p w14:paraId="1D92265E">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color w:val="000000"/>
          <w:kern w:val="0"/>
          <w:sz w:val="18"/>
          <w:szCs w:val="18"/>
          <w:u w:val="none"/>
        </w:rPr>
        <w:t>3、摆放位置和数量由甲方指定，公对公账户，甲方开具事业单位收据，乙方根据甲方要求提供对账明细；</w:t>
      </w:r>
    </w:p>
    <w:p w14:paraId="79FF0A50">
      <w:p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4、甲方有权向乙方提出使用我院院标logo等要求，乙方须无条件配合甲方的需求。</w:t>
      </w:r>
    </w:p>
    <w:p w14:paraId="50E3835C">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乙方的权利与义务：</w:t>
      </w:r>
    </w:p>
    <w:p w14:paraId="5FA1C606">
      <w:p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1、乙方提供充电箱设备和充电宝（以下统称为“充电设备”），并完成设备安装和上线；</w:t>
      </w:r>
    </w:p>
    <w:p w14:paraId="23D62C3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default" w:ascii="宋体" w:hAnsi="宋体" w:eastAsia="仿宋" w:cs="宋体"/>
          <w:b w:val="0"/>
          <w:bCs w:val="0"/>
          <w:color w:val="000000"/>
          <w:kern w:val="0"/>
          <w:sz w:val="18"/>
          <w:szCs w:val="18"/>
          <w:u w:val="none"/>
          <w:lang w:val="en-US" w:eastAsia="zh-CN"/>
        </w:rPr>
      </w:pPr>
      <w:r>
        <w:rPr>
          <w:rFonts w:hint="eastAsia" w:ascii="宋体" w:hAnsi="宋体" w:cs="宋体"/>
          <w:b w:val="0"/>
          <w:bCs w:val="0"/>
          <w:color w:val="000000"/>
          <w:kern w:val="0"/>
          <w:sz w:val="18"/>
          <w:szCs w:val="18"/>
          <w:u w:val="none"/>
        </w:rPr>
        <w:t>2、乙方负责处理在服务流程中出现的设备故障报修、丢失处理和计费答疑等问题。乙方客服电话为：</w:t>
      </w:r>
      <w:r>
        <w:rPr>
          <w:rFonts w:hint="eastAsia" w:ascii="宋体" w:hAnsi="宋体" w:cs="宋体"/>
          <w:b w:val="0"/>
          <w:bCs w:val="0"/>
          <w:color w:val="000000"/>
          <w:kern w:val="0"/>
          <w:sz w:val="18"/>
          <w:szCs w:val="18"/>
          <w:u w:val="none"/>
          <w:lang w:val="en-US" w:eastAsia="zh-CN"/>
        </w:rPr>
        <w:t xml:space="preserve">  </w:t>
      </w:r>
    </w:p>
    <w:p w14:paraId="4F90E761">
      <w:p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3、乙方有义务确保设备摆放在店内合适的位置、确保电源正常连接，确保设备放置于安全环境、位置（包括设备自身安全及不会产生侵害第三方的危险）。乙方须半个月给一次</w:t>
      </w:r>
      <w:r>
        <w:rPr>
          <w:rFonts w:hint="eastAsia" w:ascii="宋体" w:hAnsi="宋体" w:cs="宋体"/>
          <w:b w:val="0"/>
          <w:bCs w:val="0"/>
          <w:color w:val="000000"/>
          <w:kern w:val="0"/>
          <w:sz w:val="18"/>
          <w:szCs w:val="18"/>
          <w:u w:val="none"/>
          <w:lang w:eastAsia="zh-CN"/>
        </w:rPr>
        <w:t>基建办</w:t>
      </w:r>
      <w:r>
        <w:rPr>
          <w:rFonts w:hint="eastAsia" w:ascii="宋体" w:hAnsi="宋体" w:cs="宋体"/>
          <w:b w:val="0"/>
          <w:bCs w:val="0"/>
          <w:color w:val="000000"/>
          <w:kern w:val="0"/>
          <w:sz w:val="18"/>
          <w:szCs w:val="18"/>
          <w:u w:val="none"/>
        </w:rPr>
        <w:t>安全巡查记录；巡检一周三次。</w:t>
      </w:r>
    </w:p>
    <w:p w14:paraId="6F8007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4、因设备产生的人身损害，甲乙双方应积极取证，负责纠纷的沟通协调、解决。充电箱设备本身质量问题产生的故障和破损（例如正常安全使用环境下的产品爆炸、产品自燃、产品自身质量问题等），由乙方及产品制造商承担，安全事故与甲方无关。</w:t>
      </w:r>
    </w:p>
    <w:p w14:paraId="3ECAAE3B">
      <w:pPr>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5、乙方须在系统内增加条款，让患者签署知情同意书，所有消防、信息安全均与甲方无关，如果系统不能做到，必须在外盒或柜机上明确此条要求。内容为：怪兽充电共享手机充电宝设备属第三方设备，所出现消防、信息安全、使用投诉皆与本院无关，订单咨询处理请拨打电话：</w:t>
      </w:r>
      <w:r>
        <w:rPr>
          <w:rFonts w:hint="eastAsia" w:ascii="宋体" w:hAnsi="宋体" w:cs="宋体"/>
          <w:b w:val="0"/>
          <w:bCs w:val="0"/>
          <w:color w:val="000000"/>
          <w:kern w:val="0"/>
          <w:sz w:val="18"/>
          <w:szCs w:val="18"/>
          <w:u w:val="none"/>
          <w:lang w:val="en-US" w:eastAsia="zh-CN"/>
        </w:rPr>
        <w:t xml:space="preserve">  </w:t>
      </w:r>
      <w:r>
        <w:rPr>
          <w:rFonts w:hint="eastAsia" w:ascii="宋体" w:hAnsi="宋体" w:cs="宋体"/>
          <w:b w:val="0"/>
          <w:bCs w:val="0"/>
          <w:color w:val="000000"/>
          <w:kern w:val="0"/>
          <w:sz w:val="18"/>
          <w:szCs w:val="18"/>
          <w:u w:val="none"/>
        </w:rPr>
        <w:t>。</w:t>
      </w:r>
    </w:p>
    <w:p w14:paraId="6DF10971">
      <w:pPr>
        <w:spacing w:line="280" w:lineRule="exac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6、乙方须承诺充电宝项目已购买保险，并保证在出现问题的时候有保险公司进行赔偿。</w:t>
      </w:r>
    </w:p>
    <w:p w14:paraId="66D8AD1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7、乙方在其官方小程序/APP上展示甲方装有该充电设备的门店信息，并面向乙方的所有用户展示和查询。</w:t>
      </w:r>
    </w:p>
    <w:p w14:paraId="3C8C9E8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8、乙方拥有充电设备的所有权。</w:t>
      </w:r>
    </w:p>
    <w:p w14:paraId="6C41901C">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四、违约责任</w:t>
      </w:r>
    </w:p>
    <w:p w14:paraId="027D28DC">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1、乙方如不按照甲方规定进行充电宝数量的增加、或摆放位置不遵从甲方的意愿，甲方有权对乙方进行处罚，并责令整改。甲方对乙方处以合同总价款30%的违约金处罚，并有权终止与乙方的合同。</w:t>
      </w:r>
    </w:p>
    <w:p w14:paraId="4C061A32">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2、对于因乙方入驻的充电宝出现的安全问题，对甲方造成的损失，由乙方负全责。且对乙方处以合同总价款30%的违约金处罚。并有权终止与乙方的合同。</w:t>
      </w:r>
    </w:p>
    <w:p w14:paraId="7F969799">
      <w:pPr>
        <w:autoSpaceDE w:val="0"/>
        <w:autoSpaceDN w:val="0"/>
        <w:adjustRightInd w:val="0"/>
        <w:spacing w:line="280" w:lineRule="exact"/>
        <w:jc w:val="left"/>
        <w:rPr>
          <w:rFonts w:ascii="宋体" w:hAnsi="宋体" w:cs="宋体"/>
          <w:b w:val="0"/>
          <w:bCs w:val="0"/>
          <w:color w:val="000000"/>
          <w:kern w:val="0"/>
          <w:sz w:val="18"/>
          <w:szCs w:val="18"/>
          <w:u w:val="none"/>
        </w:rPr>
      </w:pPr>
      <w:r>
        <w:rPr>
          <w:rFonts w:hint="eastAsia" w:ascii="宋体" w:hAnsi="宋体" w:cs="宋体"/>
          <w:b w:val="0"/>
          <w:bCs w:val="0"/>
          <w:color w:val="000000"/>
          <w:kern w:val="0"/>
          <w:sz w:val="18"/>
          <w:szCs w:val="18"/>
          <w:u w:val="none"/>
        </w:rPr>
        <w:t>3、</w:t>
      </w:r>
      <w:r>
        <w:rPr>
          <w:rFonts w:hint="eastAsia" w:ascii="宋体" w:hAnsi="宋体" w:cs="宋体"/>
          <w:b w:val="0"/>
          <w:bCs w:val="0"/>
          <w:color w:val="000000"/>
          <w:sz w:val="18"/>
          <w:szCs w:val="18"/>
          <w:u w:val="none"/>
        </w:rPr>
        <w:t>甲方对乙方的服务质量进行年度评价，由门诊部负责监督考核乙方的服务，</w:t>
      </w:r>
      <w:r>
        <w:rPr>
          <w:rFonts w:hint="eastAsia" w:ascii="宋体" w:hAnsi="宋体" w:cs="宋体"/>
          <w:b w:val="0"/>
          <w:bCs w:val="0"/>
          <w:color w:val="000000"/>
          <w:kern w:val="0"/>
          <w:sz w:val="18"/>
          <w:szCs w:val="18"/>
          <w:u w:val="none"/>
        </w:rPr>
        <w:t>对于乙方服务不及时、巡检次数不达标等问题，甲方有权对乙方提出整改，乙方须在三日内整改到位，如在三日内乙方消极整改或不整改，甲方有权追究乙方责任，并</w:t>
      </w:r>
      <w:r>
        <w:rPr>
          <w:rFonts w:hint="eastAsia" w:ascii="宋体" w:hAnsi="宋体" w:cs="宋体"/>
          <w:b w:val="0"/>
          <w:bCs w:val="0"/>
          <w:sz w:val="18"/>
          <w:szCs w:val="18"/>
          <w:u w:val="none"/>
        </w:rPr>
        <w:t>且对乙方处以合同总价款30%的违约金处罚。</w:t>
      </w:r>
      <w:r>
        <w:rPr>
          <w:rFonts w:hint="eastAsia" w:ascii="宋体" w:hAnsi="宋体" w:cs="宋体"/>
          <w:b w:val="0"/>
          <w:bCs w:val="0"/>
          <w:color w:val="000000"/>
          <w:sz w:val="18"/>
          <w:szCs w:val="18"/>
          <w:u w:val="none"/>
        </w:rPr>
        <w:t>如在十日内还不整改到位，甲方有权更换乙方，并终止与乙方的合作关系。</w:t>
      </w:r>
    </w:p>
    <w:p w14:paraId="00519BDB">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五、保密条款</w:t>
      </w:r>
    </w:p>
    <w:p w14:paraId="0005DF8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color w:val="000000"/>
          <w:kern w:val="0"/>
          <w:sz w:val="18"/>
          <w:szCs w:val="18"/>
          <w:u w:val="none"/>
        </w:rPr>
        <w:t>1、 甲乙双方本合同内容、乙方的运营模式等属于商业秘密，未经乙方书面同意，甲方不得向任何第三方泄露，包括但不限于来电、街电、小电、美团等。若甲方违反本条约定，甲方须按照乙方提供设备总数所对应的总投入金额赔偿乙方损失。</w:t>
      </w:r>
      <w:r>
        <w:rPr>
          <w:rFonts w:hint="eastAsia" w:ascii="宋体" w:hAnsi="宋体" w:cs="宋体"/>
          <w:b w:val="0"/>
          <w:bCs w:val="0"/>
          <w:color w:val="000000"/>
          <w:kern w:val="0"/>
          <w:sz w:val="18"/>
          <w:szCs w:val="18"/>
          <w:u w:val="none"/>
        </w:rPr>
        <w:br w:type="textWrapping"/>
      </w:r>
      <w:r>
        <w:rPr>
          <w:rFonts w:hint="eastAsia" w:ascii="宋体" w:hAnsi="宋体" w:cs="宋体"/>
          <w:b w:val="0"/>
          <w:bCs w:val="0"/>
          <w:color w:val="000000"/>
          <w:kern w:val="0"/>
          <w:sz w:val="18"/>
          <w:szCs w:val="18"/>
          <w:u w:val="none"/>
        </w:rPr>
        <w:t>2、合同双方同意，本合约任何一方违反各自在本合约中所保证、承诺的或其他条款，均构成违约。如因一方的违约行为对其他方造成损失的，违约方应负赔偿责任。</w:t>
      </w:r>
    </w:p>
    <w:p w14:paraId="1FB48E96">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六、合同的变更和终止</w:t>
      </w:r>
    </w:p>
    <w:p w14:paraId="2C54B6FC">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1、除《政府采购法》第50条第二款规定的情形外，本合同一经签订，甲乙双方不得擅自变更、中止或终止合同。</w:t>
      </w:r>
    </w:p>
    <w:p w14:paraId="3ABF10FE">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2、除发生法律规定的不能预见，不能避免并不能克服的客观情况外，甲乙双方不得放弃或拒绝履行合同，乙方放弃或拒绝履行合同，乙方应按合同总价的30%承担违约责任，在三年内不得参加南京市溧水区人民医院采购活动。</w:t>
      </w:r>
    </w:p>
    <w:p w14:paraId="0D3DD166">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七、合同的转让</w:t>
      </w:r>
    </w:p>
    <w:p w14:paraId="391C2298">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乙方不得擅自部分或全部转让其因履行的合同义务。</w:t>
      </w:r>
    </w:p>
    <w:p w14:paraId="7A597CCC">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 xml:space="preserve">八、争议的解决  </w:t>
      </w:r>
    </w:p>
    <w:p w14:paraId="34070A46">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7FBDEBB6">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 xml:space="preserve">九、合同生效及其他 </w:t>
      </w:r>
    </w:p>
    <w:p w14:paraId="4BBE43A5">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1、本合同中的任何一款与国家相关法律法规强制性规定有冲突时，按照国家相关法律法规执行。</w:t>
      </w:r>
    </w:p>
    <w:p w14:paraId="3437707A">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2、本合同经双方法定代表人或授权委托代表人签字或签章并加盖单位公章后生效。</w:t>
      </w:r>
    </w:p>
    <w:p w14:paraId="1B1E054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3、</w:t>
      </w:r>
      <w:r>
        <w:rPr>
          <w:rFonts w:hint="eastAsia" w:ascii="宋体" w:hAnsi="宋体" w:cs="宋体"/>
          <w:b w:val="0"/>
          <w:bCs w:val="0"/>
          <w:color w:val="000000"/>
          <w:kern w:val="0"/>
          <w:sz w:val="18"/>
          <w:szCs w:val="18"/>
          <w:u w:val="none"/>
        </w:rPr>
        <w:t>本合同附件是本合同不可分割的一部分，与本合同具有同等法律效力。</w:t>
      </w:r>
    </w:p>
    <w:p w14:paraId="7D291D5D">
      <w:pPr>
        <w:autoSpaceDE w:val="0"/>
        <w:autoSpaceDN w:val="0"/>
        <w:adjustRightInd w:val="0"/>
        <w:spacing w:line="280" w:lineRule="exact"/>
        <w:jc w:val="left"/>
        <w:rPr>
          <w:rFonts w:hint="eastAsia" w:ascii="宋体" w:hAnsi="宋体" w:cs="宋体"/>
          <w:b w:val="0"/>
          <w:bCs w:val="0"/>
          <w:sz w:val="18"/>
          <w:szCs w:val="18"/>
          <w:u w:val="none"/>
        </w:rPr>
      </w:pPr>
      <w:r>
        <w:rPr>
          <w:rFonts w:hint="eastAsia" w:ascii="宋体" w:hAnsi="宋体" w:cs="宋体"/>
          <w:b w:val="0"/>
          <w:bCs w:val="0"/>
          <w:sz w:val="18"/>
          <w:szCs w:val="18"/>
          <w:u w:val="none"/>
        </w:rPr>
        <w:t>4、本合同正本一式叁份，具有同等法律效力，甲方执两份，乙方执一份。（以下无正文）</w:t>
      </w:r>
    </w:p>
    <w:p w14:paraId="64C8BF3D">
      <w:pPr>
        <w:keepNext w:val="0"/>
        <w:keepLines w:val="0"/>
        <w:pageBreakBefore w:val="0"/>
        <w:kinsoku/>
        <w:wordWrap/>
        <w:overflowPunct/>
        <w:topLinePunct w:val="0"/>
        <w:autoSpaceDE w:val="0"/>
        <w:autoSpaceDN w:val="0"/>
        <w:bidi w:val="0"/>
        <w:adjustRightInd w:val="0"/>
        <w:snapToGrid/>
        <w:spacing w:line="400" w:lineRule="exact"/>
        <w:ind w:firstLine="422" w:firstLineChars="150"/>
        <w:jc w:val="left"/>
        <w:textAlignment w:val="auto"/>
        <w:rPr>
          <w:rFonts w:hint="eastAsia" w:ascii="仿宋" w:hAnsi="仿宋" w:eastAsia="仿宋" w:cs="仿宋"/>
          <w:sz w:val="28"/>
          <w:szCs w:val="28"/>
          <w:highlight w:val="none"/>
          <w:lang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44163">
    <w:pPr>
      <w:pStyle w:val="11"/>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EEB5D">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CEEB5D">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DE672">
    <w:pPr>
      <w:pStyle w:val="12"/>
      <w:ind w:firstLine="2640" w:firstLineChars="1100"/>
      <w:jc w:val="both"/>
      <w:rPr>
        <w:rFonts w:hint="eastAsia" w:eastAsia="仿宋"/>
        <w:b w:val="0"/>
        <w:bCs w:val="0"/>
        <w:sz w:val="24"/>
        <w:szCs w:val="24"/>
        <w:u w:val="none"/>
        <w:lang w:eastAsia="zh-CN"/>
      </w:rPr>
    </w:pPr>
    <w:r>
      <w:rPr>
        <w:rFonts w:hint="eastAsia"/>
        <w:b w:val="0"/>
        <w:bCs w:val="0"/>
        <w:sz w:val="24"/>
        <w:szCs w:val="24"/>
        <w:u w:val="none"/>
        <w:lang w:eastAsia="zh-CN"/>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E4C2">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E84F"/>
    <w:multiLevelType w:val="singleLevel"/>
    <w:tmpl w:val="CF09E84F"/>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7D38E404"/>
    <w:multiLevelType w:val="singleLevel"/>
    <w:tmpl w:val="7D38E40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652736"/>
    <w:rsid w:val="0069410C"/>
    <w:rsid w:val="006A4C8B"/>
    <w:rsid w:val="00747428"/>
    <w:rsid w:val="007541A3"/>
    <w:rsid w:val="007E2AE7"/>
    <w:rsid w:val="00955E28"/>
    <w:rsid w:val="009877E0"/>
    <w:rsid w:val="00A81A52"/>
    <w:rsid w:val="00AE403B"/>
    <w:rsid w:val="00B90BFD"/>
    <w:rsid w:val="00ED3F0C"/>
    <w:rsid w:val="020A533B"/>
    <w:rsid w:val="05F01509"/>
    <w:rsid w:val="08C3481A"/>
    <w:rsid w:val="08CE0793"/>
    <w:rsid w:val="09594CC4"/>
    <w:rsid w:val="0C351327"/>
    <w:rsid w:val="0CDB51C5"/>
    <w:rsid w:val="0E820056"/>
    <w:rsid w:val="0E8C4743"/>
    <w:rsid w:val="113D0264"/>
    <w:rsid w:val="17A80770"/>
    <w:rsid w:val="1C2529FF"/>
    <w:rsid w:val="1D2A6866"/>
    <w:rsid w:val="21035955"/>
    <w:rsid w:val="23201F60"/>
    <w:rsid w:val="274A419B"/>
    <w:rsid w:val="278F4358"/>
    <w:rsid w:val="27BB1274"/>
    <w:rsid w:val="289C7F3C"/>
    <w:rsid w:val="29220EF6"/>
    <w:rsid w:val="2C917248"/>
    <w:rsid w:val="2FAB0A48"/>
    <w:rsid w:val="312F39C2"/>
    <w:rsid w:val="33AF4B9A"/>
    <w:rsid w:val="34E30FF8"/>
    <w:rsid w:val="38477A29"/>
    <w:rsid w:val="3C1341E6"/>
    <w:rsid w:val="3D5F13DF"/>
    <w:rsid w:val="3F8C69B3"/>
    <w:rsid w:val="403F29F9"/>
    <w:rsid w:val="4045536F"/>
    <w:rsid w:val="424E09CC"/>
    <w:rsid w:val="43B15A7D"/>
    <w:rsid w:val="44F34016"/>
    <w:rsid w:val="46404CE5"/>
    <w:rsid w:val="48665371"/>
    <w:rsid w:val="49C5228A"/>
    <w:rsid w:val="49C82D31"/>
    <w:rsid w:val="4A9311B5"/>
    <w:rsid w:val="4B2058B1"/>
    <w:rsid w:val="4CD10909"/>
    <w:rsid w:val="4CFA195C"/>
    <w:rsid w:val="4D381304"/>
    <w:rsid w:val="50C3182D"/>
    <w:rsid w:val="50C939BF"/>
    <w:rsid w:val="567C0974"/>
    <w:rsid w:val="591438A3"/>
    <w:rsid w:val="5A054C64"/>
    <w:rsid w:val="5B5072E3"/>
    <w:rsid w:val="5BCC5A39"/>
    <w:rsid w:val="5C314C9D"/>
    <w:rsid w:val="5F920D48"/>
    <w:rsid w:val="5FB177E8"/>
    <w:rsid w:val="65984BDE"/>
    <w:rsid w:val="66E44404"/>
    <w:rsid w:val="6E3F1A2D"/>
    <w:rsid w:val="6EA53724"/>
    <w:rsid w:val="71363BAA"/>
    <w:rsid w:val="72E176CB"/>
    <w:rsid w:val="7396411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4576</Words>
  <Characters>4729</Characters>
  <Lines>41</Lines>
  <Paragraphs>11</Paragraphs>
  <TotalTime>1</TotalTime>
  <ScaleCrop>false</ScaleCrop>
  <LinksUpToDate>false</LinksUpToDate>
  <CharactersWithSpaces>4806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2024-07-01T09:02:28Z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77DDE0DE03934F80B702B67BD7CA00F7_13</vt:lpwstr>
  </property>
</Properties>
</file>