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35393798"/>
      <w:bookmarkStart w:id="4" w:name="_Toc28359012"/>
      <w:bookmarkStart w:id="5" w:name="_Toc35393629"/>
      <w:bookmarkStart w:id="6" w:name="_Toc28359089"/>
    </w:p>
    <w:p w14:paraId="01880AE9">
      <w:pPr>
        <w:spacing w:line="400" w:lineRule="exact"/>
        <w:ind w:firstLine="281" w:firstLineChars="100"/>
        <w:rPr>
          <w:rFonts w:hint="eastAsia" w:cs="仿宋"/>
          <w:u w:val="none"/>
        </w:rPr>
      </w:pPr>
      <w:r>
        <w:rPr>
          <w:rFonts w:hint="eastAsia" w:cs="仿宋"/>
          <w:u w:val="none"/>
        </w:rPr>
        <w:t>溧水区人民医院</w:t>
      </w:r>
      <w:r>
        <w:rPr>
          <w:rFonts w:hint="eastAsia" w:cs="仿宋"/>
          <w:u w:val="none"/>
          <w:lang w:eastAsia="zh-CN"/>
        </w:rPr>
        <w:t>电瓶车充电桩</w:t>
      </w:r>
      <w:r>
        <w:rPr>
          <w:rFonts w:hint="eastAsia" w:cs="仿宋"/>
          <w:u w:val="none"/>
        </w:rPr>
        <w:t>项目的潜在供应商应在溧水区人民医院官网获取采购文件，并于2024年</w:t>
      </w:r>
      <w:r>
        <w:rPr>
          <w:rFonts w:hint="eastAsia" w:cs="仿宋"/>
          <w:u w:val="none"/>
          <w:lang w:val="en-US" w:eastAsia="zh-CN"/>
        </w:rPr>
        <w:t>10</w:t>
      </w:r>
      <w:r>
        <w:rPr>
          <w:rFonts w:hint="eastAsia" w:cs="仿宋"/>
          <w:u w:val="none"/>
        </w:rPr>
        <w:t>月</w:t>
      </w:r>
      <w:r>
        <w:rPr>
          <w:rFonts w:hint="eastAsia" w:cs="仿宋"/>
          <w:u w:val="none"/>
          <w:lang w:val="en-US" w:eastAsia="zh-CN"/>
        </w:rPr>
        <w:t>11</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eastAsia" w:eastAsia="仿宋" w:cs="仿宋"/>
          <w:b w:val="0"/>
          <w:bCs w:val="0"/>
          <w:color w:val="000000"/>
          <w:kern w:val="0"/>
          <w:highlight w:val="none"/>
          <w:u w:val="none"/>
          <w:lang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LSRY-ZB2024-Z00</w:t>
      </w:r>
      <w:r>
        <w:rPr>
          <w:rFonts w:hint="eastAsia" w:cs="仿宋"/>
          <w:b w:val="0"/>
          <w:bCs w:val="0"/>
          <w:color w:val="000000"/>
          <w:kern w:val="0"/>
          <w:highlight w:val="none"/>
          <w:u w:val="none"/>
          <w:lang w:val="en-US" w:eastAsia="zh-CN"/>
        </w:rPr>
        <w:t>4</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电瓶车充电桩</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eastAsia" w:cs="仿宋"/>
          <w:color w:val="000000"/>
          <w:kern w:val="0"/>
          <w:highlight w:val="none"/>
          <w:u w:val="none"/>
        </w:rPr>
      </w:pPr>
      <w:r>
        <w:rPr>
          <w:rFonts w:hint="eastAsia" w:cs="仿宋"/>
          <w:color w:val="000000"/>
          <w:kern w:val="0"/>
          <w:highlight w:val="none"/>
          <w:u w:val="none"/>
        </w:rPr>
        <w:t>最低限价：管理费</w:t>
      </w:r>
      <w:r>
        <w:rPr>
          <w:rFonts w:hint="eastAsia" w:cs="仿宋"/>
          <w:color w:val="000000"/>
          <w:kern w:val="0"/>
          <w:highlight w:val="none"/>
          <w:u w:val="none"/>
          <w:lang w:val="en-US" w:eastAsia="zh-CN"/>
        </w:rPr>
        <w:t>6000</w:t>
      </w:r>
      <w:r>
        <w:rPr>
          <w:rFonts w:hint="eastAsia" w:cs="仿宋"/>
          <w:color w:val="000000"/>
          <w:kern w:val="0"/>
          <w:highlight w:val="none"/>
          <w:u w:val="none"/>
        </w:rPr>
        <w:t>元/年（低于此项报价将视为无效标）</w:t>
      </w:r>
      <w:bookmarkStart w:id="7" w:name="_Toc28359090"/>
      <w:bookmarkStart w:id="8" w:name="_Toc28359013"/>
      <w:bookmarkStart w:id="9" w:name="_Toc35393799"/>
      <w:bookmarkStart w:id="10" w:name="_Toc35393630"/>
    </w:p>
    <w:p w14:paraId="7FF8AB04">
      <w:pPr>
        <w:spacing w:line="400" w:lineRule="exact"/>
        <w:rPr>
          <w:rFonts w:hint="eastAsia" w:cs="仿宋"/>
          <w:highlight w:val="none"/>
          <w:u w:val="none"/>
        </w:rPr>
      </w:pPr>
      <w:r>
        <w:rPr>
          <w:rFonts w:hint="eastAsia" w:cs="仿宋"/>
          <w:highlight w:val="none"/>
          <w:u w:val="none"/>
        </w:rPr>
        <w:t>服务期限：一招三年，合同一年一签</w:t>
      </w:r>
    </w:p>
    <w:p w14:paraId="393D562C">
      <w:pPr>
        <w:spacing w:line="400" w:lineRule="exact"/>
        <w:ind w:left="0" w:leftChars="0" w:firstLine="0" w:firstLineChars="0"/>
        <w:rPr>
          <w:rFonts w:hint="eastAsia" w:cs="仿宋"/>
          <w:highlight w:val="none"/>
          <w:u w:val="none"/>
        </w:rPr>
      </w:pPr>
    </w:p>
    <w:p w14:paraId="460037FD">
      <w:pPr>
        <w:spacing w:line="400" w:lineRule="exact"/>
        <w:ind w:left="0" w:leftChars="0" w:firstLine="0" w:firstLineChars="0"/>
        <w:rPr>
          <w:rFonts w:hint="eastAsia" w:cs="仿宋"/>
          <w:highlight w:val="none"/>
          <w:u w:val="none"/>
        </w:rPr>
      </w:pPr>
      <w:r>
        <w:rPr>
          <w:rFonts w:hint="eastAsia" w:cs="仿宋"/>
          <w:highlight w:val="none"/>
          <w:u w:val="none"/>
        </w:rPr>
        <w:t>二、服务内容及要求（请逐条填写《服务条款响应偏离表》）</w:t>
      </w:r>
    </w:p>
    <w:p w14:paraId="56A1C5E3">
      <w:pPr>
        <w:spacing w:line="400" w:lineRule="exact"/>
        <w:rPr>
          <w:rFonts w:hint="default" w:cs="仿宋"/>
          <w:b w:val="0"/>
          <w:bCs w:val="0"/>
          <w:color w:val="000000"/>
          <w:kern w:val="0"/>
          <w:highlight w:val="none"/>
          <w:u w:val="none"/>
          <w:lang w:val="en-US" w:eastAsia="zh-CN"/>
        </w:rPr>
      </w:pPr>
      <w:r>
        <w:rPr>
          <w:rFonts w:hint="eastAsia" w:cs="仿宋"/>
          <w:b w:val="0"/>
          <w:bCs w:val="0"/>
          <w:color w:val="000000"/>
          <w:kern w:val="0"/>
          <w:highlight w:val="none"/>
          <w:u w:val="none"/>
          <w:lang w:val="en-US" w:eastAsia="zh-CN"/>
        </w:rPr>
        <w:t>1、本项目为南京市溧水区人民医院（崇文路86号）配置电瓶车充电桩设备，医院仅提供场地及车棚设施。供应商提供电源、排线及相关充电桩设备，向医院缴纳管理费。</w:t>
      </w:r>
    </w:p>
    <w:p w14:paraId="413177AE">
      <w:pPr>
        <w:spacing w:line="400" w:lineRule="exact"/>
        <w:rPr>
          <w:rFonts w:hint="eastAsia" w:cs="仿宋"/>
          <w:b w:val="0"/>
          <w:bCs w:val="0"/>
          <w:color w:val="000000"/>
          <w:kern w:val="0"/>
          <w:highlight w:val="none"/>
          <w:u w:val="none"/>
          <w:lang w:val="en-US" w:eastAsia="zh-CN"/>
        </w:rPr>
      </w:pPr>
      <w:r>
        <w:rPr>
          <w:rFonts w:hint="eastAsia" w:cs="仿宋"/>
          <w:b w:val="0"/>
          <w:bCs w:val="0"/>
          <w:color w:val="000000"/>
          <w:kern w:val="0"/>
          <w:highlight w:val="none"/>
          <w:u w:val="none"/>
          <w:lang w:val="en-US" w:eastAsia="zh-CN"/>
        </w:rPr>
        <w:t>2、两处场地分别为医院北围墙西段车棚138米，门诊西南侧车棚102米，每个充电插孔间隙不得低于0.8米，设备及电源由供应商自行提供、负责安装到位并进行日常运行管理维护。接电方式(院外接电还是院内接电)由供应商自行考虑，自行承担风险，我院</w:t>
      </w:r>
      <w:r>
        <w:rPr>
          <w:rFonts w:hint="eastAsia" w:cs="仿宋"/>
          <w:b w:val="0"/>
          <w:bCs w:val="0"/>
          <w:color w:val="000000"/>
          <w:kern w:val="0"/>
          <w:highlight w:val="none"/>
          <w:u w:val="none"/>
          <w:lang w:eastAsia="zh-CN"/>
        </w:rPr>
        <w:t>仅接受一个管理费报价。如选择院内接电，供应商须另外自行承担电力成本。</w:t>
      </w:r>
    </w:p>
    <w:p w14:paraId="0CEBECC2">
      <w:pPr>
        <w:spacing w:line="400" w:lineRule="exact"/>
        <w:rPr>
          <w:rFonts w:hint="eastAsia" w:cs="仿宋"/>
          <w:b w:val="0"/>
          <w:bCs w:val="0"/>
          <w:color w:val="000000"/>
          <w:kern w:val="0"/>
          <w:u w:val="none"/>
        </w:rPr>
      </w:pPr>
      <w:r>
        <w:rPr>
          <w:rFonts w:hint="default" w:cs="仿宋"/>
          <w:b w:val="0"/>
          <w:bCs w:val="0"/>
          <w:color w:val="000000"/>
          <w:kern w:val="0"/>
          <w:highlight w:val="none"/>
          <w:u w:val="none"/>
          <w:lang w:val="en-US" w:eastAsia="zh-CN"/>
        </w:rPr>
        <w:t>3</w:t>
      </w:r>
      <w:r>
        <w:rPr>
          <w:rFonts w:hint="eastAsia" w:cs="仿宋"/>
          <w:b w:val="0"/>
          <w:bCs w:val="0"/>
          <w:color w:val="000000"/>
          <w:kern w:val="0"/>
          <w:highlight w:val="none"/>
          <w:u w:val="none"/>
          <w:lang w:val="en-US" w:eastAsia="zh-CN"/>
        </w:rPr>
        <w:t>、</w:t>
      </w:r>
      <w:r>
        <w:rPr>
          <w:rFonts w:hint="eastAsia" w:cs="仿宋"/>
          <w:b w:val="0"/>
          <w:bCs w:val="0"/>
          <w:color w:val="000000"/>
          <w:kern w:val="0"/>
          <w:highlight w:val="none"/>
          <w:u w:val="none"/>
        </w:rPr>
        <w:t>投入运营的</w:t>
      </w:r>
      <w:r>
        <w:rPr>
          <w:rFonts w:hint="eastAsia" w:cs="仿宋"/>
          <w:b w:val="0"/>
          <w:bCs w:val="0"/>
          <w:color w:val="000000"/>
          <w:kern w:val="0"/>
          <w:highlight w:val="none"/>
          <w:u w:val="none"/>
          <w:lang w:val="en-US" w:eastAsia="zh-CN"/>
        </w:rPr>
        <w:t>电瓶车</w:t>
      </w:r>
      <w:r>
        <w:rPr>
          <w:rFonts w:hint="eastAsia" w:cs="仿宋"/>
          <w:b w:val="0"/>
          <w:bCs w:val="0"/>
          <w:color w:val="000000"/>
          <w:kern w:val="0"/>
          <w:highlight w:val="none"/>
          <w:u w:val="none"/>
        </w:rPr>
        <w:t>充电</w:t>
      </w:r>
      <w:r>
        <w:rPr>
          <w:rFonts w:hint="eastAsia" w:cs="仿宋"/>
          <w:b w:val="0"/>
          <w:bCs w:val="0"/>
          <w:color w:val="000000"/>
          <w:kern w:val="0"/>
          <w:highlight w:val="none"/>
          <w:u w:val="none"/>
          <w:lang w:val="en-US" w:eastAsia="zh-CN"/>
        </w:rPr>
        <w:t>桩</w:t>
      </w:r>
      <w:r>
        <w:rPr>
          <w:rFonts w:hint="eastAsia" w:cs="仿宋"/>
          <w:b w:val="0"/>
          <w:bCs w:val="0"/>
          <w:color w:val="000000"/>
          <w:kern w:val="0"/>
          <w:highlight w:val="none"/>
          <w:u w:val="none"/>
        </w:rPr>
        <w:t>设备应为同一品牌产品，符合国家相关制造标准和规范，具备产品合格证或质量安全证书，具备中国国家强制性产品认证证书。充电</w:t>
      </w:r>
      <w:r>
        <w:rPr>
          <w:rFonts w:hint="eastAsia" w:cs="仿宋"/>
          <w:b w:val="0"/>
          <w:bCs w:val="0"/>
          <w:color w:val="000000"/>
          <w:kern w:val="0"/>
          <w:highlight w:val="none"/>
          <w:u w:val="none"/>
          <w:lang w:val="en-US" w:eastAsia="zh-CN"/>
        </w:rPr>
        <w:t>桩</w:t>
      </w:r>
      <w:r>
        <w:rPr>
          <w:rFonts w:hint="eastAsia" w:cs="仿宋"/>
          <w:b w:val="0"/>
          <w:bCs w:val="0"/>
          <w:color w:val="000000"/>
          <w:kern w:val="0"/>
          <w:highlight w:val="none"/>
          <w:u w:val="none"/>
        </w:rPr>
        <w:t>设备满足所有</w:t>
      </w:r>
      <w:r>
        <w:rPr>
          <w:rFonts w:hint="eastAsia" w:cs="仿宋"/>
          <w:b w:val="0"/>
          <w:bCs w:val="0"/>
          <w:color w:val="000000"/>
          <w:kern w:val="0"/>
          <w:highlight w:val="none"/>
          <w:u w:val="none"/>
          <w:lang w:val="en-US" w:eastAsia="zh-CN"/>
        </w:rPr>
        <w:t>电瓶车</w:t>
      </w:r>
      <w:r>
        <w:rPr>
          <w:rFonts w:hint="eastAsia" w:cs="仿宋"/>
          <w:b w:val="0"/>
          <w:bCs w:val="0"/>
          <w:color w:val="000000"/>
          <w:kern w:val="0"/>
          <w:highlight w:val="none"/>
          <w:u w:val="none"/>
        </w:rPr>
        <w:t>充电口</w:t>
      </w:r>
      <w:r>
        <w:rPr>
          <w:rFonts w:hint="eastAsia" w:cs="仿宋"/>
          <w:b w:val="0"/>
          <w:bCs w:val="0"/>
          <w:color w:val="000000"/>
          <w:kern w:val="0"/>
          <w:highlight w:val="none"/>
          <w:u w:val="none"/>
          <w:lang w:val="en-US" w:eastAsia="zh-CN"/>
        </w:rPr>
        <w:t>及功率</w:t>
      </w:r>
      <w:r>
        <w:rPr>
          <w:rFonts w:hint="eastAsia" w:cs="仿宋"/>
          <w:b w:val="0"/>
          <w:bCs w:val="0"/>
          <w:color w:val="000000"/>
          <w:kern w:val="0"/>
          <w:highlight w:val="none"/>
          <w:u w:val="none"/>
        </w:rPr>
        <w:t>的需求</w:t>
      </w:r>
      <w:r>
        <w:rPr>
          <w:rFonts w:hint="eastAsia" w:cs="仿宋"/>
          <w:b w:val="0"/>
          <w:bCs w:val="0"/>
          <w:color w:val="000000"/>
          <w:kern w:val="0"/>
          <w:highlight w:val="none"/>
          <w:u w:val="none"/>
          <w:lang w:eastAsia="zh-CN"/>
        </w:rPr>
        <w:t>。</w:t>
      </w:r>
      <w:r>
        <w:rPr>
          <w:rFonts w:hint="eastAsia" w:cs="仿宋"/>
          <w:b w:val="0"/>
          <w:bCs w:val="0"/>
          <w:color w:val="000000"/>
          <w:kern w:val="0"/>
          <w:highlight w:val="none"/>
          <w:u w:val="none"/>
        </w:rPr>
        <w:t>投放充电</w:t>
      </w:r>
      <w:r>
        <w:rPr>
          <w:rFonts w:hint="eastAsia" w:cs="仿宋"/>
          <w:b w:val="0"/>
          <w:bCs w:val="0"/>
          <w:color w:val="000000"/>
          <w:kern w:val="0"/>
          <w:highlight w:val="none"/>
          <w:u w:val="none"/>
          <w:lang w:val="en-US" w:eastAsia="zh-CN"/>
        </w:rPr>
        <w:t>桩的收费</w:t>
      </w:r>
      <w:r>
        <w:rPr>
          <w:rFonts w:hint="eastAsia" w:cs="仿宋"/>
          <w:b w:val="0"/>
          <w:bCs w:val="0"/>
          <w:color w:val="000000"/>
          <w:kern w:val="0"/>
          <w:highlight w:val="none"/>
          <w:u w:val="none"/>
        </w:rPr>
        <w:t>价格不得高于所在区域市场的正常价格</w:t>
      </w:r>
      <w:r>
        <w:rPr>
          <w:rFonts w:hint="eastAsia" w:cs="仿宋"/>
          <w:b w:val="0"/>
          <w:bCs w:val="0"/>
          <w:color w:val="000000"/>
          <w:kern w:val="0"/>
          <w:highlight w:val="none"/>
          <w:u w:val="none"/>
          <w:lang w:eastAsia="zh-CN"/>
        </w:rPr>
        <w:t>，</w:t>
      </w:r>
      <w:r>
        <w:rPr>
          <w:rFonts w:hint="eastAsia" w:cs="仿宋"/>
          <w:b w:val="0"/>
          <w:bCs w:val="0"/>
          <w:color w:val="000000"/>
          <w:kern w:val="0"/>
          <w:highlight w:val="none"/>
          <w:u w:val="none"/>
          <w:lang w:val="en-US" w:eastAsia="zh-CN"/>
        </w:rPr>
        <w:t>即功率0-199</w:t>
      </w:r>
      <w:r>
        <w:rPr>
          <w:rFonts w:hint="eastAsia" w:cs="仿宋"/>
          <w:b w:val="0"/>
          <w:bCs w:val="0"/>
          <w:color w:val="000000"/>
          <w:kern w:val="0"/>
          <w:u w:val="none"/>
          <w:lang w:val="en-US" w:eastAsia="zh-CN"/>
        </w:rPr>
        <w:t>W为4小时/元，200-299W为3小时/元，300-499W为2小时/元，500-599W为1小时/元，600W及以上1.5元/度。</w:t>
      </w:r>
      <w:r>
        <w:rPr>
          <w:rFonts w:hint="eastAsia" w:cs="仿宋"/>
          <w:b w:val="0"/>
          <w:bCs w:val="0"/>
          <w:color w:val="000000"/>
          <w:kern w:val="0"/>
          <w:u w:val="none"/>
        </w:rPr>
        <w:t>接到</w:t>
      </w:r>
      <w:r>
        <w:rPr>
          <w:rFonts w:hint="eastAsia" w:cs="仿宋"/>
          <w:b w:val="0"/>
          <w:bCs w:val="0"/>
          <w:color w:val="000000"/>
          <w:kern w:val="0"/>
          <w:u w:val="none"/>
          <w:lang w:val="en-US" w:eastAsia="zh-CN"/>
        </w:rPr>
        <w:t>报修</w:t>
      </w:r>
      <w:r>
        <w:rPr>
          <w:rFonts w:hint="eastAsia" w:cs="仿宋"/>
          <w:b w:val="0"/>
          <w:bCs w:val="0"/>
          <w:color w:val="000000"/>
          <w:kern w:val="0"/>
          <w:u w:val="none"/>
        </w:rPr>
        <w:t>通知后2个小时内服务人员到达现场处理。</w:t>
      </w:r>
    </w:p>
    <w:p w14:paraId="7176D447">
      <w:pPr>
        <w:spacing w:line="400" w:lineRule="exact"/>
        <w:rPr>
          <w:rFonts w:hint="default" w:cs="仿宋"/>
          <w:b w:val="0"/>
          <w:bCs w:val="0"/>
          <w:color w:val="000000"/>
          <w:kern w:val="0"/>
          <w:u w:val="none"/>
          <w:lang w:val="en-US" w:eastAsia="zh-CN"/>
        </w:rPr>
      </w:pPr>
      <w:r>
        <w:rPr>
          <w:rFonts w:hint="eastAsia" w:cs="仿宋"/>
          <w:b w:val="0"/>
          <w:bCs w:val="0"/>
          <w:color w:val="000000"/>
          <w:kern w:val="0"/>
          <w:u w:val="none"/>
          <w:lang w:val="en-US" w:eastAsia="zh-CN"/>
        </w:rPr>
        <w:t>4、施工工期为确认中标后10个工作日内完成，合作期共三年每年一签，第一年管理费为确认中标后三个工作日内支付，后两</w:t>
      </w:r>
      <w:r>
        <w:rPr>
          <w:rFonts w:hint="default" w:cs="仿宋"/>
          <w:b w:val="0"/>
          <w:bCs w:val="0"/>
          <w:color w:val="000000"/>
          <w:kern w:val="0"/>
          <w:u w:val="none"/>
          <w:lang w:val="en-US" w:eastAsia="zh-CN"/>
        </w:rPr>
        <w:t>年</w:t>
      </w:r>
      <w:r>
        <w:rPr>
          <w:rFonts w:hint="eastAsia" w:cs="仿宋"/>
          <w:b w:val="0"/>
          <w:bCs w:val="0"/>
          <w:color w:val="000000"/>
          <w:kern w:val="0"/>
          <w:u w:val="none"/>
          <w:lang w:val="en-US" w:eastAsia="zh-CN"/>
        </w:rPr>
        <w:t>管理费为下一合作期开始前一个月支付，产生的工单投诉等由供应商负责解释。</w:t>
      </w:r>
      <w:r>
        <w:rPr>
          <w:rFonts w:hint="eastAsia" w:cs="仿宋"/>
          <w:b w:val="0"/>
          <w:bCs w:val="0"/>
          <w:color w:val="000000"/>
          <w:kern w:val="0"/>
          <w:u w:val="none"/>
        </w:rPr>
        <w:t>合作期间若因</w:t>
      </w:r>
      <w:r>
        <w:rPr>
          <w:rFonts w:hint="eastAsia" w:cs="仿宋"/>
          <w:b w:val="0"/>
          <w:bCs w:val="0"/>
          <w:color w:val="000000"/>
          <w:kern w:val="0"/>
          <w:u w:val="none"/>
          <w:lang w:val="en-US" w:eastAsia="zh-CN"/>
        </w:rPr>
        <w:t>充电电源、排线、</w:t>
      </w:r>
      <w:r>
        <w:rPr>
          <w:rFonts w:hint="eastAsia" w:cs="仿宋"/>
          <w:b w:val="0"/>
          <w:bCs w:val="0"/>
          <w:color w:val="000000"/>
          <w:kern w:val="0"/>
          <w:u w:val="none"/>
        </w:rPr>
        <w:t>设备及经营</w:t>
      </w:r>
      <w:r>
        <w:rPr>
          <w:rFonts w:hint="eastAsia" w:cs="仿宋"/>
          <w:b w:val="0"/>
          <w:bCs w:val="0"/>
          <w:color w:val="000000"/>
          <w:kern w:val="0"/>
          <w:u w:val="none"/>
          <w:lang w:val="en-US" w:eastAsia="zh-CN"/>
        </w:rPr>
        <w:t>等</w:t>
      </w:r>
      <w:r>
        <w:rPr>
          <w:rFonts w:hint="eastAsia" w:cs="仿宋"/>
          <w:b w:val="0"/>
          <w:bCs w:val="0"/>
          <w:color w:val="000000"/>
          <w:kern w:val="0"/>
          <w:u w:val="none"/>
        </w:rPr>
        <w:t>原因所造成人身或财产伤害，均由</w:t>
      </w:r>
      <w:r>
        <w:rPr>
          <w:rFonts w:hint="eastAsia" w:cs="仿宋"/>
          <w:b w:val="0"/>
          <w:bCs w:val="0"/>
          <w:color w:val="000000"/>
          <w:kern w:val="0"/>
          <w:u w:val="none"/>
          <w:lang w:val="en-US" w:eastAsia="zh-CN"/>
        </w:rPr>
        <w:t>供应商</w:t>
      </w:r>
      <w:r>
        <w:rPr>
          <w:rFonts w:hint="eastAsia" w:cs="仿宋"/>
          <w:b w:val="0"/>
          <w:bCs w:val="0"/>
          <w:color w:val="000000"/>
          <w:kern w:val="0"/>
          <w:u w:val="none"/>
        </w:rPr>
        <w:t>承担全部责任并赔偿损失。</w:t>
      </w:r>
    </w:p>
    <w:p w14:paraId="155CA451">
      <w:pPr>
        <w:spacing w:line="400" w:lineRule="exact"/>
        <w:ind w:firstLine="0" w:firstLineChars="0"/>
        <w:rPr>
          <w:rFonts w:hint="eastAsia" w:cs="仿宋"/>
          <w:u w:val="none"/>
        </w:rPr>
      </w:pPr>
      <w:r>
        <w:rPr>
          <w:rFonts w:hint="eastAsia" w:cs="仿宋"/>
          <w:u w:val="none"/>
        </w:rPr>
        <w:t>三、投标人资格要求</w:t>
      </w:r>
      <w:bookmarkEnd w:id="7"/>
      <w:bookmarkEnd w:id="8"/>
      <w:bookmarkEnd w:id="9"/>
      <w:bookmarkEnd w:id="10"/>
    </w:p>
    <w:bookmarkEnd w:id="2"/>
    <w:p w14:paraId="1E187C83">
      <w:pPr>
        <w:spacing w:line="400" w:lineRule="exact"/>
        <w:ind w:firstLine="560"/>
        <w:rPr>
          <w:rFonts w:hint="eastAsia" w:cs="仿宋"/>
          <w:b w:val="0"/>
          <w:bCs w:val="0"/>
          <w:u w:val="none"/>
        </w:rPr>
      </w:pPr>
      <w:bookmarkStart w:id="11" w:name="_Toc28359015"/>
      <w:bookmarkStart w:id="12" w:name="_Toc35393801"/>
      <w:bookmarkStart w:id="13" w:name="_Toc28359092"/>
      <w:bookmarkStart w:id="14" w:name="_Toc35393632"/>
      <w:r>
        <w:rPr>
          <w:rFonts w:hint="eastAsia" w:cs="仿宋"/>
          <w:b w:val="0"/>
          <w:bCs w:val="0"/>
          <w:u w:val="none"/>
        </w:rPr>
        <w:t>（1）具有独立承担民事责任的能力（提供法人或者其他组织的营业执照、经营许可证等证明文件和自然人的身份证明）。营业执照经营范围包含本项目采购范围相关内容，且能在国内合法销售并提供相应货物及服务的生产厂家或代理商。</w:t>
      </w:r>
    </w:p>
    <w:p w14:paraId="2C6D7333">
      <w:pPr>
        <w:spacing w:line="400" w:lineRule="exact"/>
        <w:ind w:firstLine="560"/>
        <w:rPr>
          <w:rFonts w:hint="eastAsia" w:cs="仿宋"/>
          <w:b w:val="0"/>
          <w:bCs w:val="0"/>
          <w:u w:val="none"/>
        </w:rPr>
      </w:pPr>
      <w:r>
        <w:rPr>
          <w:rFonts w:hint="eastAsia" w:cs="仿宋"/>
          <w:b w:val="0"/>
          <w:bCs w:val="0"/>
          <w:u w:val="none"/>
        </w:rPr>
        <w:t>（2）具有良好的商业信誉和健全的财务会计制度（提供参加本次政府采购活动前一年内（至少一个月）的会计报表）；</w:t>
      </w:r>
    </w:p>
    <w:p w14:paraId="7DE93B8C">
      <w:pPr>
        <w:spacing w:line="400" w:lineRule="exact"/>
        <w:ind w:firstLine="560"/>
        <w:rPr>
          <w:rFonts w:hint="eastAsia" w:cs="仿宋"/>
          <w:b w:val="0"/>
          <w:bCs w:val="0"/>
          <w:u w:val="none"/>
        </w:rPr>
      </w:pPr>
      <w:r>
        <w:rPr>
          <w:rFonts w:hint="eastAsia" w:cs="仿宋"/>
          <w:b w:val="0"/>
          <w:bCs w:val="0"/>
          <w:u w:val="none"/>
        </w:rPr>
        <w:t>（3）具有履行合同所必需的设备和专业技术能力（根据项目需求提供相应的专业设备说明、技术管理人员情况申明、专业技术资质等）；</w:t>
      </w:r>
    </w:p>
    <w:p w14:paraId="779E69C2">
      <w:pPr>
        <w:spacing w:line="400" w:lineRule="exact"/>
        <w:ind w:firstLine="560"/>
        <w:rPr>
          <w:rFonts w:hint="eastAsia" w:cs="仿宋"/>
          <w:b w:val="0"/>
          <w:bCs w:val="0"/>
          <w:u w:val="none"/>
        </w:rPr>
      </w:pPr>
      <w:r>
        <w:rPr>
          <w:rFonts w:hint="eastAsia" w:cs="仿宋"/>
          <w:b w:val="0"/>
          <w:bCs w:val="0"/>
          <w:u w:val="none"/>
        </w:rPr>
        <w:t>（4）有依法缴纳税收和社会保障资金的良好记录（提供参加政府采购活动前一年内至少一个月依法缴纳税收和社会保障资金的相关材料）；</w:t>
      </w:r>
    </w:p>
    <w:p w14:paraId="134C3A14">
      <w:pPr>
        <w:spacing w:line="400" w:lineRule="exact"/>
        <w:ind w:firstLine="560"/>
        <w:rPr>
          <w:rFonts w:hint="eastAsia" w:cs="仿宋"/>
          <w:b w:val="0"/>
          <w:bCs w:val="0"/>
          <w:u w:val="none"/>
        </w:rPr>
      </w:pPr>
      <w:r>
        <w:rPr>
          <w:rFonts w:hint="eastAsia" w:cs="仿宋"/>
          <w:b w:val="0"/>
          <w:bCs w:val="0"/>
          <w:u w:val="none"/>
        </w:rPr>
        <w:t>（5）参加政府采购活动前三年内，在经营活动中没有重大违法记录（提供参加政府采购活动前三年内在经营活动中没有重大违法记录的书面声明）；</w:t>
      </w:r>
    </w:p>
    <w:p w14:paraId="6E5CDBD1">
      <w:pPr>
        <w:spacing w:line="400" w:lineRule="exact"/>
        <w:ind w:firstLine="560"/>
        <w:rPr>
          <w:rFonts w:hint="eastAsia" w:eastAsia="仿宋" w:cs="仿宋"/>
          <w:b w:val="0"/>
          <w:bCs w:val="0"/>
          <w:u w:val="none"/>
          <w:lang w:eastAsia="zh-CN"/>
        </w:rPr>
      </w:pPr>
      <w:r>
        <w:rPr>
          <w:rFonts w:hint="eastAsia" w:cs="仿宋"/>
          <w:b w:val="0"/>
          <w:bCs w:val="0"/>
          <w:u w:val="none"/>
        </w:rPr>
        <w:t>（6）</w:t>
      </w:r>
      <w:r>
        <w:rPr>
          <w:rFonts w:hint="eastAsia" w:cs="仿宋"/>
          <w:b w:val="0"/>
          <w:bCs w:val="0"/>
          <w:u w:val="none"/>
          <w:lang w:eastAsia="zh-CN"/>
        </w:rPr>
        <w:t>信用中国或</w:t>
      </w:r>
      <w:r>
        <w:rPr>
          <w:rFonts w:hint="eastAsia" w:cs="仿宋"/>
          <w:b w:val="0"/>
          <w:bCs w:val="0"/>
          <w:u w:val="none"/>
        </w:rPr>
        <w:t>南京市政府采购供应商信用记录表</w:t>
      </w:r>
      <w:r>
        <w:rPr>
          <w:rFonts w:hint="eastAsia" w:cs="仿宋"/>
          <w:b w:val="0"/>
          <w:bCs w:val="0"/>
          <w:u w:val="none"/>
          <w:lang w:val="en-US" w:eastAsia="zh-CN"/>
        </w:rPr>
        <w:t>.</w:t>
      </w:r>
    </w:p>
    <w:p w14:paraId="2664B288">
      <w:pPr>
        <w:spacing w:line="400" w:lineRule="exact"/>
        <w:ind w:firstLine="0" w:firstLineChars="0"/>
        <w:rPr>
          <w:rFonts w:hint="eastAsia" w:cs="仿宋"/>
          <w:b w:val="0"/>
          <w:bCs w:val="0"/>
          <w:u w:val="none"/>
        </w:rPr>
      </w:pPr>
    </w:p>
    <w:p w14:paraId="0021C195">
      <w:pPr>
        <w:spacing w:line="400" w:lineRule="exact"/>
        <w:ind w:left="0" w:leftChars="0" w:firstLine="0" w:firstLineChars="0"/>
        <w:rPr>
          <w:rFonts w:hint="eastAsia" w:cs="仿宋"/>
          <w:u w:val="none"/>
        </w:rPr>
      </w:pPr>
      <w:r>
        <w:rPr>
          <w:rFonts w:hint="eastAsia" w:cs="仿宋"/>
          <w:u w:val="none"/>
        </w:rPr>
        <w:t>四、报名事宜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2024年</w:t>
      </w:r>
      <w:r>
        <w:rPr>
          <w:rFonts w:hint="eastAsia" w:cs="仿宋"/>
          <w:lang w:val="en-US" w:eastAsia="zh-CN"/>
        </w:rPr>
        <w:t>10</w:t>
      </w:r>
      <w:r>
        <w:rPr>
          <w:rFonts w:hint="eastAsia" w:cs="仿宋"/>
        </w:rPr>
        <w:t>月</w:t>
      </w:r>
      <w:r>
        <w:rPr>
          <w:rFonts w:hint="eastAsia" w:cs="仿宋"/>
          <w:lang w:val="en-US" w:eastAsia="zh-CN"/>
        </w:rPr>
        <w:t>8</w:t>
      </w:r>
      <w:r>
        <w:rPr>
          <w:rFonts w:hint="eastAsia" w:cs="仿宋"/>
        </w:rPr>
        <w:t>日8:00-2024年</w:t>
      </w:r>
      <w:r>
        <w:rPr>
          <w:rFonts w:hint="eastAsia" w:cs="仿宋"/>
          <w:lang w:val="en-US" w:eastAsia="zh-CN"/>
        </w:rPr>
        <w:t>10</w:t>
      </w:r>
      <w:r>
        <w:rPr>
          <w:rFonts w:hint="eastAsia" w:cs="仿宋"/>
        </w:rPr>
        <w:t>月</w:t>
      </w:r>
      <w:r>
        <w:rPr>
          <w:rFonts w:hint="eastAsia" w:cs="仿宋"/>
          <w:lang w:val="en-US" w:eastAsia="zh-CN"/>
        </w:rPr>
        <w:t>10</w:t>
      </w:r>
      <w:r>
        <w:rPr>
          <w:rFonts w:hint="eastAsia" w:cs="仿宋"/>
        </w:rPr>
        <w:t>日17:30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完成报名，邮件名称及报名文件均命名为“项目名称+供应商名称+联系电话”。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eastAsia="zh-CN"/>
        </w:rPr>
        <w:t>五</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（1）所有供应商的响应文件被询价小组认定为无效的；（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）供应商的最终报价超过采购预算的；（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eastAsia="zh-CN"/>
        </w:rPr>
        <w:t>六</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开标时间：2024年</w:t>
      </w:r>
      <w:r>
        <w:rPr>
          <w:rFonts w:hint="eastAsia" w:cs="仿宋"/>
          <w:b w:val="0"/>
          <w:bCs w:val="0"/>
          <w:u w:val="none"/>
          <w:lang w:val="en-US" w:eastAsia="zh-CN"/>
        </w:rPr>
        <w:t>10</w:t>
      </w:r>
      <w:r>
        <w:rPr>
          <w:rFonts w:hint="eastAsia" w:cs="仿宋"/>
          <w:b w:val="0"/>
          <w:bCs w:val="0"/>
          <w:u w:val="none"/>
        </w:rPr>
        <w:t>月</w:t>
      </w:r>
      <w:r>
        <w:rPr>
          <w:rFonts w:hint="eastAsia" w:cs="仿宋"/>
          <w:b w:val="0"/>
          <w:bCs w:val="0"/>
          <w:u w:val="none"/>
          <w:lang w:val="en-US" w:eastAsia="zh-CN"/>
        </w:rPr>
        <w:t>11</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35393634"/>
      <w:bookmarkStart w:id="16" w:name="_Toc28359017"/>
      <w:bookmarkStart w:id="17" w:name="_Toc35393803"/>
      <w:bookmarkStart w:id="18" w:name="_Toc2835909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供应商具有相关类似项目业绩情况表及证明材料等。</w:t>
      </w:r>
      <w:r>
        <w:rPr>
          <w:rFonts w:hint="eastAsia" w:cs="仿宋"/>
          <w:b w:val="0"/>
          <w:bCs w:val="0"/>
          <w:u w:val="none"/>
        </w:rPr>
        <w:t>上述材料均需加盖公章。（响应文件一式四份，一正三副，目录及页码清晰，密封，封面信息至少包含项目名称、供应商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eastAsia="zh-CN"/>
        </w:rPr>
        <w:t>七</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最高</w:t>
      </w:r>
      <w:bookmarkStart w:id="23" w:name="_GoBack"/>
      <w:bookmarkEnd w:id="23"/>
      <w:r>
        <w:rPr>
          <w:rFonts w:hint="eastAsia" w:cs="仿宋"/>
          <w:b w:val="0"/>
          <w:bCs w:val="0"/>
          <w:u w:val="none"/>
        </w:rPr>
        <w:t>的供应商为中标候选人。不再进行二次报价。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eastAsia="zh-CN"/>
        </w:rPr>
        <w:t>八</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28359018"/>
      <w:bookmarkStart w:id="20" w:name="_Toc35393636"/>
      <w:bookmarkStart w:id="21" w:name="_Toc28359095"/>
      <w:bookmarkStart w:id="22" w:name="_Toc35393805"/>
    </w:p>
    <w:p w14:paraId="7CBF3B92">
      <w:pPr>
        <w:spacing w:line="400" w:lineRule="exact"/>
        <w:ind w:left="0" w:leftChars="0" w:firstLine="0" w:firstLineChars="0"/>
        <w:rPr>
          <w:rFonts w:hint="eastAsia" w:cs="仿宋"/>
          <w:u w:val="none"/>
        </w:rPr>
      </w:pPr>
      <w:r>
        <w:rPr>
          <w:rFonts w:hint="eastAsia" w:cs="仿宋"/>
          <w:u w:val="none"/>
          <w:lang w:eastAsia="zh-CN"/>
        </w:rPr>
        <w:t>九</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025-56232027周老师（总务科）</w:t>
      </w:r>
    </w:p>
    <w:p w14:paraId="29FED673">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3075C695">
      <w:pPr>
        <w:pStyle w:val="4"/>
        <w:spacing w:line="400" w:lineRule="exact"/>
        <w:ind w:firstLine="560"/>
        <w:rPr>
          <w:rFonts w:hint="eastAsia" w:ascii="仿宋" w:hAnsi="仿宋" w:cs="仿宋"/>
          <w:u w:val="none"/>
        </w:rPr>
      </w:pPr>
    </w:p>
    <w:p w14:paraId="314FFC93">
      <w:pPr>
        <w:spacing w:line="400" w:lineRule="exact"/>
        <w:ind w:firstLine="560"/>
        <w:rPr>
          <w:rFonts w:hint="eastAsia" w:cs="仿宋"/>
          <w:b w:val="0"/>
          <w:bCs w:val="0"/>
          <w:u w:val="none"/>
        </w:rPr>
      </w:pPr>
    </w:p>
    <w:p w14:paraId="649960F4">
      <w:pPr>
        <w:spacing w:line="400" w:lineRule="exact"/>
        <w:ind w:firstLine="0" w:firstLineChars="0"/>
        <w:rPr>
          <w:rFonts w:hint="eastAsia" w:cs="仿宋"/>
          <w:b w:val="0"/>
          <w:bCs w:val="0"/>
          <w:u w:val="none"/>
        </w:rPr>
      </w:pPr>
    </w:p>
    <w:p w14:paraId="71D08779">
      <w:pPr>
        <w:pStyle w:val="4"/>
        <w:spacing w:line="400" w:lineRule="exact"/>
        <w:ind w:firstLine="0" w:firstLineChars="0"/>
        <w:rPr>
          <w:rFonts w:hint="eastAsia" w:ascii="仿宋" w:hAnsi="仿宋" w:cs="仿宋"/>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36872CA3">
            <w:pPr>
              <w:widowControl/>
              <w:shd w:val="clear" w:color="auto" w:fill="FFFFFF"/>
              <w:snapToGrid w:val="0"/>
              <w:spacing w:line="400" w:lineRule="exact"/>
              <w:ind w:firstLine="0" w:firstLineChars="0"/>
              <w:contextualSpacing/>
              <w:rPr>
                <w:rFonts w:hint="eastAsia" w:cs="仿宋"/>
                <w:b w:val="0"/>
                <w:bCs w:val="0"/>
                <w:color w:val="000000"/>
                <w:kern w:val="0"/>
                <w:u w:val="none"/>
                <w:lang w:bidi="en-US"/>
              </w:rPr>
            </w:pPr>
            <w:r>
              <w:rPr>
                <w:rFonts w:hint="eastAsia" w:cs="仿宋"/>
                <w:b w:val="0"/>
                <w:bCs w:val="0"/>
                <w:color w:val="000000"/>
                <w:u w:val="none"/>
              </w:rPr>
              <w:t>具有独立承担民事责任的能力（提供法人或者其他组织的营业执照、经营许可证等证明文件和自然人的身份证明）</w:t>
            </w:r>
          </w:p>
        </w:tc>
        <w:tc>
          <w:tcPr>
            <w:tcW w:w="3018"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具有良好的商业信誉和健全的财务会计制度（提供参加本次政府采购活动前一年内至少一个月的会计报表）</w:t>
            </w:r>
          </w:p>
        </w:tc>
        <w:tc>
          <w:tcPr>
            <w:tcW w:w="3018"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B09DF2D">
            <w:pPr>
              <w:spacing w:line="400" w:lineRule="exact"/>
              <w:ind w:firstLine="0" w:firstLineChars="0"/>
              <w:rPr>
                <w:rFonts w:hint="eastAsia"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018"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E630A15">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color w:val="000000"/>
                <w:u w:val="none"/>
              </w:rPr>
              <w:t>有依法缴纳税收和社会保障资金的良好记录（提供参加政府采购活动前一年内至少一个月依法缴纳税收和社会保障资金的相关材料）；</w:t>
            </w:r>
          </w:p>
        </w:tc>
        <w:tc>
          <w:tcPr>
            <w:tcW w:w="3018"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7D662DA8">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018" w:type="dxa"/>
          </w:tcPr>
          <w:p w14:paraId="53F27633">
            <w:pPr>
              <w:snapToGrid w:val="0"/>
              <w:spacing w:line="400" w:lineRule="exact"/>
              <w:ind w:firstLine="560"/>
              <w:rPr>
                <w:rFonts w:hint="eastAsia" w:cs="仿宋"/>
                <w:b w:val="0"/>
                <w:bCs w:val="0"/>
                <w:color w:val="000000"/>
                <w:u w:val="none"/>
              </w:rPr>
            </w:pPr>
          </w:p>
        </w:tc>
      </w:tr>
      <w:tr w14:paraId="3BA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70449940">
            <w:pPr>
              <w:widowControl/>
              <w:shd w:val="clear" w:color="auto" w:fill="FFFFFF"/>
              <w:snapToGrid w:val="0"/>
              <w:spacing w:line="400" w:lineRule="exact"/>
              <w:ind w:firstLine="0" w:firstLineChars="0"/>
              <w:contextualSpacing/>
              <w:jc w:val="left"/>
              <w:rPr>
                <w:rFonts w:hint="eastAsia" w:cs="仿宋"/>
                <w:b w:val="0"/>
                <w:bCs w:val="0"/>
                <w:kern w:val="0"/>
                <w:u w:val="none"/>
              </w:rPr>
            </w:pPr>
            <w:r>
              <w:rPr>
                <w:rFonts w:hint="eastAsia" w:cs="仿宋"/>
                <w:b w:val="0"/>
                <w:bCs w:val="0"/>
                <w:color w:val="000000"/>
                <w:u w:val="none"/>
                <w:lang w:eastAsia="zh-CN"/>
              </w:rPr>
              <w:t>信用中国或</w:t>
            </w:r>
            <w:r>
              <w:rPr>
                <w:rFonts w:hint="eastAsia" w:cs="仿宋"/>
                <w:b w:val="0"/>
                <w:bCs w:val="0"/>
                <w:color w:val="000000"/>
                <w:u w:val="none"/>
              </w:rPr>
              <w:t>南京市政府采购供应商信用记录表</w:t>
            </w:r>
          </w:p>
        </w:tc>
        <w:tc>
          <w:tcPr>
            <w:tcW w:w="3018" w:type="dxa"/>
          </w:tcPr>
          <w:p w14:paraId="12B81946">
            <w:pPr>
              <w:snapToGrid w:val="0"/>
              <w:spacing w:line="400" w:lineRule="exact"/>
              <w:ind w:firstLine="560"/>
              <w:rPr>
                <w:rFonts w:hint="eastAsia" w:cs="仿宋"/>
                <w:b w:val="0"/>
                <w:bCs w:val="0"/>
                <w:color w:val="000000"/>
                <w:u w:val="none"/>
              </w:rPr>
            </w:pPr>
          </w:p>
        </w:tc>
      </w:tr>
    </w:tbl>
    <w:p w14:paraId="4C12EFD9">
      <w:pPr>
        <w:pStyle w:val="20"/>
        <w:spacing w:line="400" w:lineRule="exact"/>
        <w:rPr>
          <w:rFonts w:hint="eastAsia" w:ascii="仿宋" w:hAnsi="仿宋" w:eastAsia="仿宋" w:cs="仿宋"/>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电瓶车充电桩</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项目编号：LSRY-ZB2024-Z00</w:t>
      </w:r>
      <w:r>
        <w:rPr>
          <w:rFonts w:hint="eastAsia" w:ascii="仿宋" w:hAnsi="仿宋" w:eastAsia="仿宋" w:cs="仿宋"/>
          <w:b/>
          <w:bCs/>
          <w:sz w:val="28"/>
          <w:szCs w:val="28"/>
          <w:lang w:val="en-US" w:eastAsia="zh-CN"/>
        </w:rPr>
        <w:t>4</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2086"/>
        <w:gridCol w:w="1569"/>
        <w:gridCol w:w="1569"/>
        <w:gridCol w:w="1945"/>
        <w:gridCol w:w="1983"/>
      </w:tblGrid>
      <w:tr w14:paraId="1EE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14:paraId="15815E5D">
            <w:pPr>
              <w:spacing w:line="400" w:lineRule="exact"/>
              <w:ind w:left="0" w:leftChars="0" w:firstLine="280" w:firstLineChars="100"/>
              <w:rPr>
                <w:rFonts w:hint="eastAsia" w:eastAsia="仿宋" w:cs="仿宋"/>
                <w:b w:val="0"/>
                <w:bCs w:val="0"/>
                <w:u w:val="none"/>
                <w:vertAlign w:val="baseline"/>
                <w:lang w:eastAsia="zh-CN"/>
              </w:rPr>
            </w:pPr>
            <w:r>
              <w:rPr>
                <w:rFonts w:hint="eastAsia" w:cs="仿宋"/>
                <w:b w:val="0"/>
                <w:bCs w:val="0"/>
                <w:u w:val="none"/>
                <w:vertAlign w:val="baseline"/>
                <w:lang w:eastAsia="zh-CN"/>
              </w:rPr>
              <w:t>序号</w:t>
            </w:r>
          </w:p>
        </w:tc>
        <w:tc>
          <w:tcPr>
            <w:tcW w:w="2086" w:type="dxa"/>
          </w:tcPr>
          <w:p w14:paraId="5A393979">
            <w:pPr>
              <w:spacing w:line="400" w:lineRule="exact"/>
              <w:ind w:left="0" w:leftChars="0" w:firstLine="280" w:firstLineChars="100"/>
              <w:rPr>
                <w:rFonts w:hint="eastAsia" w:eastAsia="仿宋" w:cs="仿宋"/>
                <w:b w:val="0"/>
                <w:bCs w:val="0"/>
                <w:u w:val="none"/>
                <w:vertAlign w:val="baseline"/>
                <w:lang w:eastAsia="zh-CN"/>
              </w:rPr>
            </w:pPr>
            <w:r>
              <w:rPr>
                <w:rFonts w:hint="eastAsia" w:cs="仿宋"/>
                <w:b w:val="0"/>
                <w:bCs w:val="0"/>
                <w:u w:val="none"/>
                <w:vertAlign w:val="baseline"/>
                <w:lang w:eastAsia="zh-CN"/>
              </w:rPr>
              <w:t>项目名称</w:t>
            </w:r>
          </w:p>
        </w:tc>
        <w:tc>
          <w:tcPr>
            <w:tcW w:w="1569" w:type="dxa"/>
          </w:tcPr>
          <w:p w14:paraId="637ABBAD">
            <w:pPr>
              <w:spacing w:line="400" w:lineRule="exact"/>
              <w:ind w:left="0" w:leftChars="0" w:firstLine="0" w:firstLineChars="0"/>
              <w:rPr>
                <w:rFonts w:hint="eastAsia" w:cs="仿宋"/>
                <w:b w:val="0"/>
                <w:bCs w:val="0"/>
                <w:u w:val="none"/>
                <w:vertAlign w:val="baseline"/>
                <w:lang w:eastAsia="zh-CN"/>
              </w:rPr>
            </w:pPr>
            <w:r>
              <w:rPr>
                <w:rFonts w:hint="eastAsia" w:cs="仿宋"/>
                <w:b w:val="0"/>
                <w:bCs w:val="0"/>
                <w:u w:val="none"/>
                <w:vertAlign w:val="baseline"/>
                <w:lang w:val="en-US" w:eastAsia="zh-CN"/>
              </w:rPr>
              <w:t>产品品牌</w:t>
            </w:r>
          </w:p>
        </w:tc>
        <w:tc>
          <w:tcPr>
            <w:tcW w:w="1569" w:type="dxa"/>
          </w:tcPr>
          <w:p w14:paraId="07AF82A1">
            <w:pPr>
              <w:spacing w:line="400" w:lineRule="exact"/>
              <w:ind w:left="0" w:leftChars="0" w:firstLine="0" w:firstLineChars="0"/>
              <w:rPr>
                <w:rFonts w:hint="eastAsia" w:eastAsia="仿宋" w:cs="仿宋"/>
                <w:b w:val="0"/>
                <w:bCs w:val="0"/>
                <w:u w:val="none"/>
                <w:vertAlign w:val="baseline"/>
                <w:lang w:eastAsia="zh-CN"/>
              </w:rPr>
            </w:pPr>
            <w:r>
              <w:rPr>
                <w:rFonts w:hint="eastAsia" w:cs="仿宋"/>
                <w:b w:val="0"/>
                <w:bCs w:val="0"/>
                <w:u w:val="none"/>
                <w:vertAlign w:val="baseline"/>
                <w:lang w:eastAsia="zh-CN"/>
              </w:rPr>
              <w:t>数量（年）</w:t>
            </w:r>
          </w:p>
        </w:tc>
        <w:tc>
          <w:tcPr>
            <w:tcW w:w="1945" w:type="dxa"/>
          </w:tcPr>
          <w:p w14:paraId="72967474">
            <w:pPr>
              <w:spacing w:line="400" w:lineRule="exact"/>
              <w:ind w:left="0" w:leftChars="0" w:firstLine="0" w:firstLineChars="0"/>
              <w:rPr>
                <w:rFonts w:hint="eastAsia" w:eastAsia="仿宋" w:cs="仿宋"/>
                <w:b w:val="0"/>
                <w:bCs w:val="0"/>
                <w:u w:val="none"/>
                <w:vertAlign w:val="baseline"/>
                <w:lang w:val="en-US" w:eastAsia="zh-CN"/>
              </w:rPr>
            </w:pPr>
            <w:r>
              <w:rPr>
                <w:rFonts w:hint="eastAsia" w:cs="仿宋"/>
                <w:b w:val="0"/>
                <w:bCs w:val="0"/>
                <w:u w:val="none"/>
                <w:vertAlign w:val="baseline"/>
                <w:lang w:eastAsia="zh-CN"/>
              </w:rPr>
              <w:t>单价（元</w:t>
            </w:r>
            <w:r>
              <w:rPr>
                <w:rFonts w:hint="eastAsia" w:cs="仿宋"/>
                <w:b w:val="0"/>
                <w:bCs w:val="0"/>
                <w:u w:val="none"/>
                <w:vertAlign w:val="baseline"/>
                <w:lang w:val="en-US" w:eastAsia="zh-CN"/>
              </w:rPr>
              <w:t>/年</w:t>
            </w:r>
            <w:r>
              <w:rPr>
                <w:rFonts w:hint="eastAsia" w:cs="仿宋"/>
                <w:b w:val="0"/>
                <w:bCs w:val="0"/>
                <w:u w:val="none"/>
                <w:vertAlign w:val="baseline"/>
                <w:lang w:eastAsia="zh-CN"/>
              </w:rPr>
              <w:t>）</w:t>
            </w:r>
          </w:p>
        </w:tc>
        <w:tc>
          <w:tcPr>
            <w:tcW w:w="1983" w:type="dxa"/>
          </w:tcPr>
          <w:p w14:paraId="0E21F17B">
            <w:pPr>
              <w:spacing w:line="400" w:lineRule="exact"/>
              <w:ind w:left="0" w:leftChars="0" w:firstLine="280" w:firstLineChars="100"/>
              <w:rPr>
                <w:rFonts w:hint="eastAsia" w:eastAsia="仿宋" w:cs="仿宋"/>
                <w:b w:val="0"/>
                <w:bCs w:val="0"/>
                <w:u w:val="none"/>
                <w:vertAlign w:val="baseline"/>
                <w:lang w:eastAsia="zh-CN"/>
              </w:rPr>
            </w:pPr>
            <w:r>
              <w:rPr>
                <w:rFonts w:hint="eastAsia" w:cs="仿宋"/>
                <w:b w:val="0"/>
                <w:bCs w:val="0"/>
                <w:u w:val="none"/>
                <w:vertAlign w:val="baseline"/>
                <w:lang w:eastAsia="zh-CN"/>
              </w:rPr>
              <w:t>总价（元）</w:t>
            </w:r>
          </w:p>
        </w:tc>
      </w:tr>
      <w:tr w14:paraId="5FA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14:paraId="440EFB85">
            <w:pPr>
              <w:spacing w:line="400" w:lineRule="exact"/>
              <w:ind w:left="0" w:leftChars="0" w:firstLine="560" w:firstLineChars="200"/>
              <w:rPr>
                <w:rFonts w:hint="eastAsia" w:eastAsia="仿宋" w:cs="仿宋"/>
                <w:b w:val="0"/>
                <w:bCs w:val="0"/>
                <w:u w:val="none"/>
                <w:vertAlign w:val="baseline"/>
                <w:lang w:val="en-US" w:eastAsia="zh-CN"/>
              </w:rPr>
            </w:pPr>
            <w:r>
              <w:rPr>
                <w:rFonts w:hint="eastAsia" w:cs="仿宋"/>
                <w:b w:val="0"/>
                <w:bCs w:val="0"/>
                <w:u w:val="none"/>
                <w:vertAlign w:val="baseline"/>
                <w:lang w:val="en-US" w:eastAsia="zh-CN"/>
              </w:rPr>
              <w:t>1</w:t>
            </w:r>
          </w:p>
        </w:tc>
        <w:tc>
          <w:tcPr>
            <w:tcW w:w="2086" w:type="dxa"/>
          </w:tcPr>
          <w:p w14:paraId="38D4A752">
            <w:pPr>
              <w:spacing w:line="400" w:lineRule="exact"/>
              <w:ind w:left="0" w:leftChars="0" w:firstLine="0" w:firstLineChars="0"/>
              <w:rPr>
                <w:rFonts w:hint="eastAsia" w:eastAsia="仿宋" w:cs="仿宋"/>
                <w:b w:val="0"/>
                <w:bCs w:val="0"/>
                <w:u w:val="none"/>
                <w:vertAlign w:val="baseline"/>
                <w:lang w:val="en-US" w:eastAsia="zh-CN"/>
              </w:rPr>
            </w:pPr>
            <w:r>
              <w:rPr>
                <w:rFonts w:hint="eastAsia" w:cs="仿宋"/>
                <w:b w:val="0"/>
                <w:bCs w:val="0"/>
                <w:u w:val="none"/>
                <w:vertAlign w:val="baseline"/>
                <w:lang w:eastAsia="zh-CN"/>
              </w:rPr>
              <w:t>电瓶车充电桩</w:t>
            </w:r>
          </w:p>
        </w:tc>
        <w:tc>
          <w:tcPr>
            <w:tcW w:w="1569" w:type="dxa"/>
          </w:tcPr>
          <w:p w14:paraId="1B27FF14">
            <w:pPr>
              <w:spacing w:line="400" w:lineRule="exact"/>
              <w:rPr>
                <w:rFonts w:hint="eastAsia" w:cs="仿宋"/>
                <w:b w:val="0"/>
                <w:bCs w:val="0"/>
                <w:u w:val="none"/>
                <w:vertAlign w:val="baseline"/>
              </w:rPr>
            </w:pPr>
          </w:p>
        </w:tc>
        <w:tc>
          <w:tcPr>
            <w:tcW w:w="1569" w:type="dxa"/>
          </w:tcPr>
          <w:p w14:paraId="54B33B51">
            <w:pPr>
              <w:spacing w:line="400" w:lineRule="exact"/>
              <w:rPr>
                <w:rFonts w:hint="eastAsia" w:cs="仿宋"/>
                <w:b w:val="0"/>
                <w:bCs w:val="0"/>
                <w:u w:val="none"/>
                <w:vertAlign w:val="baseline"/>
              </w:rPr>
            </w:pPr>
          </w:p>
        </w:tc>
        <w:tc>
          <w:tcPr>
            <w:tcW w:w="1945" w:type="dxa"/>
          </w:tcPr>
          <w:p w14:paraId="7709C25E">
            <w:pPr>
              <w:spacing w:line="400" w:lineRule="exact"/>
              <w:rPr>
                <w:rFonts w:hint="eastAsia" w:cs="仿宋"/>
                <w:b w:val="0"/>
                <w:bCs w:val="0"/>
                <w:u w:val="none"/>
                <w:vertAlign w:val="baseline"/>
              </w:rPr>
            </w:pPr>
          </w:p>
        </w:tc>
        <w:tc>
          <w:tcPr>
            <w:tcW w:w="1983" w:type="dxa"/>
          </w:tcPr>
          <w:p w14:paraId="2592AE66">
            <w:pPr>
              <w:spacing w:line="400" w:lineRule="exact"/>
              <w:rPr>
                <w:rFonts w:hint="eastAsia" w:cs="仿宋"/>
                <w:b w:val="0"/>
                <w:bCs w:val="0"/>
                <w:u w:val="none"/>
                <w:vertAlign w:val="baseline"/>
              </w:rPr>
            </w:pPr>
          </w:p>
        </w:tc>
      </w:tr>
    </w:tbl>
    <w:p w14:paraId="492D96F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rPr>
          <w:rFonts w:hint="eastAsia" w:cs="仿宋"/>
          <w:b w:val="0"/>
          <w:bCs w:val="0"/>
          <w:u w:val="none"/>
          <w:lang w:eastAsia="zh-CN"/>
        </w:rPr>
      </w:pPr>
      <w:r>
        <w:rPr>
          <w:rFonts w:hint="eastAsia" w:cs="仿宋"/>
          <w:b w:val="0"/>
          <w:bCs w:val="0"/>
          <w:u w:val="none"/>
          <w:lang w:eastAsia="zh-CN"/>
        </w:rPr>
        <w:t>注：报价</w:t>
      </w:r>
      <w:r>
        <w:rPr>
          <w:rFonts w:hint="eastAsia" w:cs="仿宋"/>
          <w:b w:val="0"/>
          <w:bCs w:val="0"/>
          <w:u w:val="none"/>
          <w:lang w:val="en-US" w:eastAsia="zh-CN"/>
        </w:rPr>
        <w:t>为</w:t>
      </w:r>
      <w:r>
        <w:rPr>
          <w:rFonts w:hint="eastAsia" w:cs="仿宋"/>
          <w:b w:val="0"/>
          <w:bCs w:val="0"/>
          <w:u w:val="none"/>
          <w:lang w:eastAsia="zh-CN"/>
        </w:rPr>
        <w:t>供应商</w:t>
      </w:r>
      <w:r>
        <w:rPr>
          <w:rFonts w:hint="eastAsia" w:cs="仿宋"/>
          <w:b w:val="0"/>
          <w:bCs w:val="0"/>
          <w:u w:val="none"/>
          <w:lang w:val="en-US" w:eastAsia="zh-CN"/>
        </w:rPr>
        <w:t>所承担的管理费，包括并不限于电源费、运输费、设备费、安装费、</w:t>
      </w:r>
      <w:r>
        <w:rPr>
          <w:rFonts w:hint="eastAsia" w:cs="仿宋"/>
          <w:b w:val="0"/>
          <w:bCs w:val="0"/>
          <w:u w:val="none"/>
          <w:lang w:eastAsia="zh-CN"/>
        </w:rPr>
        <w:t>配件费、人工费、上门费、</w:t>
      </w:r>
      <w:r>
        <w:rPr>
          <w:rFonts w:hint="eastAsia" w:cs="仿宋"/>
          <w:b w:val="0"/>
          <w:bCs w:val="0"/>
          <w:u w:val="none"/>
          <w:lang w:val="en-US" w:eastAsia="zh-CN"/>
        </w:rPr>
        <w:t>维保费</w:t>
      </w:r>
      <w:r>
        <w:rPr>
          <w:rFonts w:hint="eastAsia" w:cs="仿宋"/>
          <w:b w:val="0"/>
          <w:bCs w:val="0"/>
          <w:u w:val="none"/>
          <w:lang w:eastAsia="zh-CN"/>
        </w:rPr>
        <w:t>等一切费用</w:t>
      </w:r>
      <w:r>
        <w:rPr>
          <w:rFonts w:hint="eastAsia" w:cs="仿宋"/>
          <w:b w:val="0"/>
          <w:bCs w:val="0"/>
          <w:u w:val="none"/>
          <w:lang w:val="en-US" w:eastAsia="zh-CN"/>
        </w:rPr>
        <w:t>自负</w:t>
      </w:r>
      <w:r>
        <w:rPr>
          <w:rFonts w:hint="eastAsia" w:cs="仿宋"/>
          <w:b w:val="0"/>
          <w:bCs w:val="0"/>
          <w:u w:val="none"/>
          <w:lang w:eastAsia="zh-CN"/>
        </w:rPr>
        <w:t>，</w:t>
      </w:r>
      <w:r>
        <w:rPr>
          <w:rFonts w:hint="eastAsia" w:cs="仿宋"/>
          <w:b w:val="0"/>
          <w:bCs w:val="0"/>
          <w:u w:val="none"/>
          <w:lang w:val="en-US" w:eastAsia="zh-CN"/>
        </w:rPr>
        <w:t>院方仅提供场地及车棚设施</w:t>
      </w:r>
      <w:r>
        <w:rPr>
          <w:rFonts w:hint="eastAsia" w:cs="仿宋"/>
          <w:b w:val="0"/>
          <w:bCs w:val="0"/>
          <w:u w:val="none"/>
          <w:lang w:eastAsia="zh-CN"/>
        </w:rPr>
        <w:t>。</w:t>
      </w: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331A3BFC">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供应商响应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供应商名称（盖章）：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说明：如果行数不够，请自行增加。请供应商对招标文件内的技术条款进行逐条响应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39329A76">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附件3：</w:t>
      </w:r>
      <w:r>
        <w:rPr>
          <w:rFonts w:hint="eastAsia" w:ascii="仿宋" w:hAnsi="仿宋" w:eastAsia="仿宋" w:cs="仿宋"/>
          <w:b/>
          <w:bCs/>
          <w:sz w:val="28"/>
          <w:szCs w:val="28"/>
          <w:lang w:eastAsia="zh-CN"/>
        </w:rPr>
        <w:t>产品介绍、图片、功率等相关参数</w:t>
      </w: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4：业绩材料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拟签订合同文本（供参考）</w:t>
      </w:r>
    </w:p>
    <w:p w14:paraId="41758F59">
      <w:pPr>
        <w:keepNext w:val="0"/>
        <w:keepLines w:val="0"/>
        <w:pageBreakBefore w:val="0"/>
        <w:widowControl w:val="0"/>
        <w:kinsoku/>
        <w:wordWrap/>
        <w:overflowPunct/>
        <w:topLinePunct w:val="0"/>
        <w:autoSpaceDE/>
        <w:autoSpaceDN/>
        <w:bidi w:val="0"/>
        <w:snapToGrid w:val="0"/>
        <w:spacing w:line="340" w:lineRule="exact"/>
        <w:textAlignment w:val="auto"/>
        <w:rPr>
          <w:rFonts w:hint="eastAsia" w:ascii="宋体" w:hAnsi="宋体" w:eastAsia="宋体" w:cs="宋体"/>
          <w:b w:val="0"/>
          <w:bCs w:val="0"/>
          <w:sz w:val="18"/>
          <w:szCs w:val="18"/>
          <w:highlight w:val="none"/>
          <w:u w:val="none"/>
          <w:lang w:val="zh-CN" w:eastAsia="zh-CN"/>
        </w:rPr>
      </w:pPr>
      <w:r>
        <w:rPr>
          <w:rFonts w:hint="eastAsia" w:ascii="宋体" w:hAnsi="宋体" w:eastAsia="宋体" w:cs="宋体"/>
          <w:b w:val="0"/>
          <w:bCs w:val="0"/>
          <w:sz w:val="18"/>
          <w:szCs w:val="18"/>
          <w:highlight w:val="none"/>
          <w:u w:val="none"/>
          <w:lang w:val="zh-CN" w:eastAsia="zh-CN"/>
        </w:rPr>
        <w:t>为了提高患者满意度，促进便民服务，根据《中华人民共和国民法典》及相关法律法规规章，就乙方</w:t>
      </w:r>
      <w:r>
        <w:rPr>
          <w:rFonts w:hint="eastAsia" w:ascii="宋体" w:hAnsi="宋体" w:eastAsia="宋体" w:cs="宋体"/>
          <w:b w:val="0"/>
          <w:bCs w:val="0"/>
          <w:sz w:val="18"/>
          <w:szCs w:val="18"/>
          <w:highlight w:val="none"/>
          <w:u w:val="none"/>
          <w:lang w:val="en-US" w:eastAsia="zh-CN"/>
        </w:rPr>
        <w:t>配置电瓶车充电桩设备，甲方仅提供场地及车棚设施。乙方提供电源、排线及相关充电桩设备，向甲方缴纳管理费。</w:t>
      </w:r>
      <w:r>
        <w:rPr>
          <w:rFonts w:hint="eastAsia" w:ascii="宋体" w:hAnsi="宋体" w:eastAsia="宋体" w:cs="宋体"/>
          <w:b w:val="0"/>
          <w:bCs w:val="0"/>
          <w:sz w:val="18"/>
          <w:szCs w:val="18"/>
          <w:highlight w:val="none"/>
          <w:u w:val="none"/>
          <w:lang w:val="zh-CN" w:eastAsia="zh-CN"/>
        </w:rPr>
        <w:t>院内招标编号为</w:t>
      </w:r>
      <w:r>
        <w:rPr>
          <w:rFonts w:hint="eastAsia" w:ascii="宋体" w:hAnsi="宋体" w:eastAsia="宋体" w:cs="宋体"/>
          <w:b w:val="0"/>
          <w:bCs w:val="0"/>
          <w:sz w:val="18"/>
          <w:szCs w:val="18"/>
          <w:highlight w:val="none"/>
          <w:u w:val="none"/>
          <w:lang w:val="en-US" w:eastAsia="zh-CN"/>
        </w:rPr>
        <w:t>LSRY-ZB2024-Z004的询价结果</w:t>
      </w:r>
      <w:r>
        <w:rPr>
          <w:rFonts w:hint="eastAsia" w:ascii="宋体" w:hAnsi="宋体" w:eastAsia="宋体" w:cs="宋体"/>
          <w:b w:val="0"/>
          <w:bCs w:val="0"/>
          <w:sz w:val="18"/>
          <w:szCs w:val="18"/>
          <w:highlight w:val="none"/>
          <w:u w:val="none"/>
          <w:lang w:val="zh-CN" w:eastAsia="zh-CN"/>
        </w:rPr>
        <w:t>，经双方协商一致，达成如下具体合作协议：</w:t>
      </w:r>
    </w:p>
    <w:p w14:paraId="138D0EDD">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highlight w:val="none"/>
          <w:u w:val="none"/>
        </w:rPr>
      </w:pPr>
      <w:r>
        <w:rPr>
          <w:rFonts w:hint="eastAsia" w:ascii="宋体" w:hAnsi="宋体" w:cs="宋体"/>
          <w:b w:val="0"/>
          <w:bCs w:val="0"/>
          <w:sz w:val="18"/>
          <w:szCs w:val="18"/>
          <w:highlight w:val="none"/>
          <w:u w:val="none"/>
          <w:lang w:eastAsia="zh-CN"/>
        </w:rPr>
        <w:t>一</w:t>
      </w:r>
      <w:r>
        <w:rPr>
          <w:rFonts w:hint="eastAsia" w:ascii="宋体" w:hAnsi="宋体" w:eastAsia="宋体" w:cs="宋体"/>
          <w:b w:val="0"/>
          <w:bCs w:val="0"/>
          <w:sz w:val="18"/>
          <w:szCs w:val="18"/>
          <w:highlight w:val="none"/>
          <w:u w:val="none"/>
          <w:lang w:eastAsia="zh-CN"/>
        </w:rPr>
        <w:t>、合同标的</w:t>
      </w:r>
      <w:r>
        <w:rPr>
          <w:rFonts w:hint="eastAsia" w:ascii="宋体" w:hAnsi="宋体" w:eastAsia="宋体" w:cs="宋体"/>
          <w:b w:val="0"/>
          <w:bCs w:val="0"/>
          <w:sz w:val="18"/>
          <w:szCs w:val="18"/>
          <w:highlight w:val="none"/>
          <w:u w:val="none"/>
        </w:rPr>
        <w:t>：</w:t>
      </w:r>
    </w:p>
    <w:p w14:paraId="5BCEC2B9">
      <w:pPr>
        <w:keepNext w:val="0"/>
        <w:keepLines w:val="0"/>
        <w:pageBreakBefore w:val="0"/>
        <w:widowControl w:val="0"/>
        <w:kinsoku/>
        <w:wordWrap/>
        <w:overflowPunct/>
        <w:topLinePunct w:val="0"/>
        <w:autoSpaceDE/>
        <w:autoSpaceDN/>
        <w:bidi w:val="0"/>
        <w:snapToGrid w:val="0"/>
        <w:spacing w:line="340" w:lineRule="exact"/>
        <w:textAlignment w:val="auto"/>
        <w:rPr>
          <w:rFonts w:hint="eastAsia" w:ascii="宋体" w:hAnsi="宋体" w:eastAsia="宋体" w:cs="宋体"/>
          <w:b w:val="0"/>
          <w:bCs w:val="0"/>
          <w:sz w:val="18"/>
          <w:szCs w:val="18"/>
          <w:highlight w:val="none"/>
          <w:u w:val="none"/>
          <w:lang w:eastAsia="zh-CN"/>
        </w:rPr>
      </w:pPr>
      <w:r>
        <w:rPr>
          <w:rFonts w:hint="eastAsia" w:ascii="宋体" w:hAnsi="宋体" w:eastAsia="宋体" w:cs="宋体"/>
          <w:b w:val="0"/>
          <w:bCs w:val="0"/>
          <w:sz w:val="18"/>
          <w:szCs w:val="18"/>
          <w:highlight w:val="none"/>
          <w:u w:val="none"/>
        </w:rPr>
        <w:t>项目名称：</w:t>
      </w:r>
      <w:r>
        <w:rPr>
          <w:rFonts w:hint="eastAsia" w:ascii="宋体" w:hAnsi="宋体" w:eastAsia="宋体" w:cs="宋体"/>
          <w:b w:val="0"/>
          <w:bCs w:val="0"/>
          <w:sz w:val="18"/>
          <w:szCs w:val="18"/>
          <w:highlight w:val="none"/>
          <w:u w:val="none"/>
          <w:lang w:eastAsia="zh-CN"/>
        </w:rPr>
        <w:t>电瓶车充电桩项目</w:t>
      </w:r>
    </w:p>
    <w:p w14:paraId="68AA9EAD">
      <w:pPr>
        <w:keepNext w:val="0"/>
        <w:keepLines w:val="0"/>
        <w:pageBreakBefore w:val="0"/>
        <w:widowControl w:val="0"/>
        <w:kinsoku/>
        <w:wordWrap/>
        <w:overflowPunct/>
        <w:topLinePunct w:val="0"/>
        <w:autoSpaceDE/>
        <w:autoSpaceDN/>
        <w:bidi w:val="0"/>
        <w:snapToGrid w:val="0"/>
        <w:spacing w:line="340" w:lineRule="exact"/>
        <w:textAlignment w:val="auto"/>
        <w:rPr>
          <w:rFonts w:hint="eastAsia" w:ascii="宋体" w:hAnsi="宋体" w:eastAsia="宋体" w:cs="宋体"/>
          <w:b w:val="0"/>
          <w:bCs w:val="0"/>
          <w:sz w:val="18"/>
          <w:szCs w:val="18"/>
          <w:highlight w:val="none"/>
          <w:u w:val="none"/>
          <w:lang w:eastAsia="zh-CN"/>
        </w:rPr>
      </w:pPr>
      <w:r>
        <w:rPr>
          <w:rFonts w:hint="eastAsia" w:ascii="宋体" w:hAnsi="宋体" w:eastAsia="宋体" w:cs="宋体"/>
          <w:b w:val="0"/>
          <w:bCs w:val="0"/>
          <w:sz w:val="18"/>
          <w:szCs w:val="18"/>
          <w:highlight w:val="none"/>
          <w:u w:val="none"/>
        </w:rPr>
        <w:t>项目地点：</w:t>
      </w:r>
      <w:r>
        <w:rPr>
          <w:rFonts w:hint="eastAsia" w:ascii="宋体" w:hAnsi="宋体" w:eastAsia="宋体" w:cs="宋体"/>
          <w:b w:val="0"/>
          <w:bCs w:val="0"/>
          <w:sz w:val="18"/>
          <w:szCs w:val="18"/>
          <w:highlight w:val="none"/>
          <w:u w:val="none"/>
          <w:lang w:val="en-US" w:eastAsia="zh-CN"/>
        </w:rPr>
        <w:t>两处场地分别为医院北围墙西段车棚138米，门诊西南侧车棚102米，每个充电插孔间隙不得低于0.8米，设备及电源由供应商自行提供、负责安装到位并进行日常运行管理维护</w:t>
      </w:r>
    </w:p>
    <w:p w14:paraId="71D9C56A">
      <w:pPr>
        <w:keepNext w:val="0"/>
        <w:keepLines w:val="0"/>
        <w:pageBreakBefore w:val="0"/>
        <w:widowControl w:val="0"/>
        <w:kinsoku/>
        <w:wordWrap/>
        <w:overflowPunct/>
        <w:topLinePunct w:val="0"/>
        <w:autoSpaceDE/>
        <w:autoSpaceDN/>
        <w:bidi w:val="0"/>
        <w:snapToGrid w:val="0"/>
        <w:spacing w:line="340" w:lineRule="exact"/>
        <w:textAlignment w:val="auto"/>
        <w:rPr>
          <w:rFonts w:hint="eastAsia" w:ascii="宋体" w:hAnsi="宋体" w:eastAsia="宋体" w:cs="宋体"/>
          <w:b w:val="0"/>
          <w:bCs w:val="0"/>
          <w:sz w:val="18"/>
          <w:szCs w:val="18"/>
          <w:highlight w:val="none"/>
          <w:u w:val="none"/>
          <w:lang w:val="en-US" w:eastAsia="zh-CN"/>
        </w:rPr>
      </w:pPr>
      <w:r>
        <w:rPr>
          <w:rFonts w:hint="eastAsia" w:ascii="宋体" w:hAnsi="宋体" w:eastAsia="宋体" w:cs="宋体"/>
          <w:b w:val="0"/>
          <w:bCs w:val="0"/>
          <w:sz w:val="18"/>
          <w:szCs w:val="18"/>
          <w:highlight w:val="none"/>
          <w:u w:val="none"/>
          <w:lang w:val="en-US" w:eastAsia="zh-CN"/>
        </w:rPr>
        <w:t>收费标准：投放充电桩的收费价格不得高于所在区域市场的正常价格，即功率0-199W为4小时/元，200-299W为3小时/元，300-499W为2小时/元，500-599W为1小时/元，600W及以上1.5元/度。接到报修通知后2个小时内服务人员到达现场处理。</w:t>
      </w:r>
    </w:p>
    <w:p w14:paraId="69E5BFA7">
      <w:pPr>
        <w:keepNext w:val="0"/>
        <w:keepLines w:val="0"/>
        <w:pageBreakBefore w:val="0"/>
        <w:widowControl w:val="0"/>
        <w:kinsoku/>
        <w:wordWrap/>
        <w:overflowPunct/>
        <w:topLinePunct w:val="0"/>
        <w:autoSpaceDE/>
        <w:autoSpaceDN/>
        <w:bidi w:val="0"/>
        <w:snapToGrid w:val="0"/>
        <w:spacing w:line="340" w:lineRule="exact"/>
        <w:textAlignment w:val="auto"/>
        <w:rPr>
          <w:rFonts w:hint="eastAsia" w:ascii="宋体" w:hAnsi="宋体" w:eastAsia="宋体" w:cs="宋体"/>
          <w:b w:val="0"/>
          <w:bCs w:val="0"/>
          <w:sz w:val="18"/>
          <w:szCs w:val="18"/>
          <w:highlight w:val="none"/>
          <w:u w:val="none"/>
          <w:lang w:val="en-US" w:eastAsia="zh-CN"/>
        </w:rPr>
      </w:pPr>
      <w:r>
        <w:rPr>
          <w:rFonts w:hint="eastAsia" w:ascii="宋体" w:hAnsi="宋体" w:eastAsia="宋体" w:cs="宋体"/>
          <w:b w:val="0"/>
          <w:bCs w:val="0"/>
          <w:sz w:val="18"/>
          <w:szCs w:val="18"/>
          <w:highlight w:val="none"/>
          <w:u w:val="none"/>
          <w:lang w:val="en-US" w:eastAsia="zh-CN"/>
        </w:rPr>
        <w:t>设备要求：投入运营的电瓶车充电桩设备应为同一品牌产品，符合国家相关制造标准和规范，具备产品合格证或质量安全证书，具备中国国家强制性产品认证证书。充电桩设备满足所有电瓶车充电口及功率的需求。产生的工单投诉等由供应商负责解释。合作期间若因充电电源、排线、设备及经营等原因所造成人身或财产伤害，均由供应商承担全部责任并赔偿损失。</w:t>
      </w:r>
    </w:p>
    <w:p w14:paraId="6EE1EA49">
      <w:pPr>
        <w:keepNext w:val="0"/>
        <w:keepLines w:val="0"/>
        <w:pageBreakBefore w:val="0"/>
        <w:widowControl w:val="0"/>
        <w:numPr>
          <w:ilvl w:val="0"/>
          <w:numId w:val="3"/>
        </w:numPr>
        <w:kinsoku/>
        <w:wordWrap/>
        <w:overflowPunct/>
        <w:topLinePunct w:val="0"/>
        <w:autoSpaceDE/>
        <w:autoSpaceDN/>
        <w:bidi w:val="0"/>
        <w:snapToGrid w:val="0"/>
        <w:spacing w:line="340" w:lineRule="exact"/>
        <w:ind w:left="0" w:leftChars="0" w:firstLine="0" w:firstLineChars="0"/>
        <w:textAlignment w:val="auto"/>
        <w:rPr>
          <w:rFonts w:hint="eastAsia" w:ascii="宋体" w:hAnsi="宋体" w:eastAsia="宋体" w:cs="宋体"/>
          <w:b w:val="0"/>
          <w:bCs w:val="0"/>
          <w:sz w:val="18"/>
          <w:szCs w:val="18"/>
          <w:highlight w:val="none"/>
          <w:u w:val="none"/>
          <w:lang w:val="en-US" w:eastAsia="zh-CN"/>
        </w:rPr>
      </w:pPr>
      <w:r>
        <w:rPr>
          <w:rFonts w:hint="eastAsia" w:ascii="宋体" w:hAnsi="宋体" w:eastAsia="宋体" w:cs="宋体"/>
          <w:b w:val="0"/>
          <w:bCs w:val="0"/>
          <w:sz w:val="18"/>
          <w:szCs w:val="18"/>
          <w:highlight w:val="none"/>
          <w:u w:val="none"/>
          <w:lang w:val="en-US" w:eastAsia="zh-CN"/>
        </w:rPr>
        <w:t>合同金额及付款方式</w:t>
      </w:r>
    </w:p>
    <w:p w14:paraId="202DED63">
      <w:pPr>
        <w:keepNext w:val="0"/>
        <w:keepLines w:val="0"/>
        <w:pageBreakBefore w:val="0"/>
        <w:widowControl w:val="0"/>
        <w:numPr>
          <w:ilvl w:val="0"/>
          <w:numId w:val="0"/>
        </w:numPr>
        <w:kinsoku/>
        <w:wordWrap/>
        <w:overflowPunct/>
        <w:topLinePunct w:val="0"/>
        <w:autoSpaceDE/>
        <w:autoSpaceDN/>
        <w:bidi w:val="0"/>
        <w:snapToGrid w:val="0"/>
        <w:spacing w:line="340" w:lineRule="exact"/>
        <w:ind w:leftChars="0" w:firstLine="360" w:firstLineChars="200"/>
        <w:textAlignment w:val="auto"/>
        <w:rPr>
          <w:rFonts w:hint="eastAsia" w:ascii="宋体" w:hAnsi="宋体" w:eastAsia="宋体" w:cs="宋体"/>
          <w:b w:val="0"/>
          <w:bCs w:val="0"/>
          <w:sz w:val="18"/>
          <w:szCs w:val="18"/>
          <w:highlight w:val="none"/>
          <w:u w:val="none"/>
          <w:lang w:eastAsia="zh-CN"/>
        </w:rPr>
      </w:pPr>
      <w:r>
        <w:rPr>
          <w:rFonts w:hint="eastAsia" w:ascii="宋体" w:hAnsi="宋体" w:eastAsia="宋体" w:cs="宋体"/>
          <w:b w:val="0"/>
          <w:bCs w:val="0"/>
          <w:sz w:val="18"/>
          <w:szCs w:val="18"/>
          <w:highlight w:val="none"/>
          <w:u w:val="none"/>
          <w:lang w:val="en-US" w:eastAsia="zh-CN"/>
        </w:rPr>
        <w:t>合同总价：管理费为     元/年（大写人民币：     元整/年），三年共计      元（大写人民币：      ），合同金额为供应商所承担的管理费，包括并不限于电源费、运输费、设备费、安装费、配件费、人工费、上门费、维保费等一切费用自负，院方仅提供场地及车棚设施。</w:t>
      </w:r>
    </w:p>
    <w:p w14:paraId="0AD17E28">
      <w:pPr>
        <w:pStyle w:val="6"/>
        <w:keepNext w:val="0"/>
        <w:keepLines w:val="0"/>
        <w:pageBreakBefore w:val="0"/>
        <w:kinsoku/>
        <w:wordWrap/>
        <w:overflowPunct/>
        <w:topLinePunct w:val="0"/>
        <w:bidi w:val="0"/>
        <w:spacing w:line="340" w:lineRule="exact"/>
        <w:textAlignment w:val="auto"/>
        <w:rPr>
          <w:rFonts w:hint="eastAsia" w:ascii="宋体" w:hAnsi="宋体" w:eastAsia="宋体" w:cs="宋体"/>
          <w:b w:val="0"/>
          <w:bCs w:val="0"/>
          <w:i w:val="0"/>
          <w:iCs w:val="0"/>
          <w:sz w:val="18"/>
          <w:szCs w:val="18"/>
          <w:highlight w:val="none"/>
          <w:u w:val="none"/>
          <w:lang w:val="en-US" w:eastAsia="zh-CN"/>
        </w:rPr>
      </w:pPr>
      <w:r>
        <w:rPr>
          <w:rFonts w:hint="eastAsia" w:ascii="宋体" w:hAnsi="宋体" w:eastAsia="宋体" w:cs="宋体"/>
          <w:b w:val="0"/>
          <w:bCs w:val="0"/>
          <w:i w:val="0"/>
          <w:iCs w:val="0"/>
          <w:sz w:val="18"/>
          <w:szCs w:val="18"/>
          <w:highlight w:val="none"/>
          <w:u w:val="none"/>
          <w:lang w:val="zh-CN" w:eastAsia="zh-CN"/>
        </w:rPr>
        <w:t>付款方式：</w:t>
      </w:r>
      <w:r>
        <w:rPr>
          <w:rFonts w:hint="eastAsia" w:ascii="宋体" w:hAnsi="宋体" w:eastAsia="宋体" w:cs="宋体"/>
          <w:b w:val="0"/>
          <w:bCs w:val="0"/>
          <w:i w:val="0"/>
          <w:iCs w:val="0"/>
          <w:sz w:val="18"/>
          <w:szCs w:val="18"/>
          <w:highlight w:val="none"/>
          <w:u w:val="none"/>
          <w:lang w:val="en-US" w:eastAsia="zh-CN"/>
        </w:rPr>
        <w:t>施工工期为确认中标后10个工作日内完成，合作期共三年每年一签，第一年管理费为确认中标后三个工作日内支付，后两</w:t>
      </w:r>
      <w:r>
        <w:rPr>
          <w:rFonts w:hint="default" w:ascii="宋体" w:hAnsi="宋体" w:eastAsia="宋体" w:cs="宋体"/>
          <w:b w:val="0"/>
          <w:bCs w:val="0"/>
          <w:i w:val="0"/>
          <w:iCs w:val="0"/>
          <w:sz w:val="18"/>
          <w:szCs w:val="18"/>
          <w:highlight w:val="none"/>
          <w:u w:val="none"/>
          <w:lang w:val="en-US" w:eastAsia="zh-CN"/>
        </w:rPr>
        <w:t>年</w:t>
      </w:r>
      <w:r>
        <w:rPr>
          <w:rFonts w:hint="eastAsia" w:ascii="宋体" w:hAnsi="宋体" w:eastAsia="宋体" w:cs="宋体"/>
          <w:b w:val="0"/>
          <w:bCs w:val="0"/>
          <w:i w:val="0"/>
          <w:iCs w:val="0"/>
          <w:sz w:val="18"/>
          <w:szCs w:val="18"/>
          <w:highlight w:val="none"/>
          <w:u w:val="none"/>
          <w:lang w:val="en-US" w:eastAsia="zh-CN"/>
        </w:rPr>
        <w:t>管理费为下一合作期开始前一个月支付。</w:t>
      </w:r>
    </w:p>
    <w:p w14:paraId="1219A803">
      <w:pPr>
        <w:pStyle w:val="6"/>
        <w:keepNext w:val="0"/>
        <w:keepLines w:val="0"/>
        <w:pageBreakBefore w:val="0"/>
        <w:kinsoku/>
        <w:wordWrap/>
        <w:overflowPunct/>
        <w:topLinePunct w:val="0"/>
        <w:bidi w:val="0"/>
        <w:spacing w:line="340" w:lineRule="exact"/>
        <w:ind w:left="0" w:leftChars="0" w:firstLine="0" w:firstLineChars="0"/>
        <w:textAlignment w:val="auto"/>
        <w:rPr>
          <w:rFonts w:hint="eastAsia" w:ascii="宋体" w:hAnsi="宋体" w:eastAsia="宋体" w:cs="宋体"/>
          <w:b w:val="0"/>
          <w:bCs w:val="0"/>
          <w:i w:val="0"/>
          <w:iCs w:val="0"/>
          <w:kern w:val="2"/>
          <w:sz w:val="18"/>
          <w:szCs w:val="18"/>
          <w:highlight w:val="none"/>
          <w:u w:val="none"/>
          <w:lang w:val="en-US" w:eastAsia="zh-CN" w:bidi="ar-SA"/>
        </w:rPr>
      </w:pPr>
      <w:r>
        <w:rPr>
          <w:rFonts w:hint="eastAsia" w:ascii="宋体" w:hAnsi="宋体" w:eastAsia="宋体" w:cs="宋体"/>
          <w:b w:val="0"/>
          <w:bCs w:val="0"/>
          <w:i w:val="0"/>
          <w:iCs w:val="0"/>
          <w:sz w:val="18"/>
          <w:szCs w:val="18"/>
          <w:highlight w:val="none"/>
          <w:u w:val="none"/>
          <w:lang w:val="en-US" w:eastAsia="zh-CN"/>
        </w:rPr>
        <w:t>三、</w:t>
      </w:r>
      <w:r>
        <w:rPr>
          <w:rFonts w:hint="eastAsia" w:ascii="宋体" w:hAnsi="宋体" w:eastAsia="宋体" w:cs="宋体"/>
          <w:b w:val="0"/>
          <w:bCs w:val="0"/>
          <w:i w:val="0"/>
          <w:iCs w:val="0"/>
          <w:kern w:val="2"/>
          <w:sz w:val="18"/>
          <w:szCs w:val="18"/>
          <w:highlight w:val="none"/>
          <w:u w:val="none"/>
          <w:lang w:val="en-US" w:eastAsia="zh-CN" w:bidi="ar-SA"/>
        </w:rPr>
        <w:t>服务期限：叁年。自2024年10月  日至2027年10月  日止。</w:t>
      </w:r>
    </w:p>
    <w:p w14:paraId="5D286F51">
      <w:pPr>
        <w:keepNext w:val="0"/>
        <w:keepLines w:val="0"/>
        <w:pageBreakBefore w:val="0"/>
        <w:widowControl w:val="0"/>
        <w:kinsoku/>
        <w:wordWrap/>
        <w:overflowPunct/>
        <w:topLinePunct w:val="0"/>
        <w:autoSpaceDE/>
        <w:autoSpaceDN/>
        <w:bidi w:val="0"/>
        <w:snapToGrid w:val="0"/>
        <w:spacing w:line="340" w:lineRule="exact"/>
        <w:textAlignment w:val="auto"/>
        <w:rPr>
          <w:rFonts w:hint="default"/>
          <w:b w:val="0"/>
          <w:bCs w:val="0"/>
          <w:sz w:val="18"/>
          <w:szCs w:val="18"/>
          <w:highlight w:val="none"/>
          <w:u w:val="none"/>
          <w:lang w:val="en-US" w:eastAsia="zh-CN"/>
        </w:rPr>
      </w:pPr>
      <w:r>
        <w:rPr>
          <w:rFonts w:hint="eastAsia" w:ascii="宋体" w:hAnsi="宋体" w:eastAsia="宋体" w:cs="宋体"/>
          <w:b w:val="0"/>
          <w:bCs w:val="0"/>
          <w:i w:val="0"/>
          <w:iCs w:val="0"/>
          <w:kern w:val="2"/>
          <w:sz w:val="18"/>
          <w:szCs w:val="18"/>
          <w:highlight w:val="none"/>
          <w:u w:val="none"/>
          <w:lang w:val="en-US" w:eastAsia="zh-CN" w:bidi="ar-SA"/>
        </w:rPr>
        <w:t>合同期限：壹年。自2024年10月  日至2025年10月  日止。甲方根据乙方本年度的合同执行情况决定是否续签下一年度的服务合同。如不再进行合作，甲方有权要求乙方限期撤场。</w:t>
      </w:r>
    </w:p>
    <w:p w14:paraId="41DEA4DC">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highlight w:val="none"/>
          <w:u w:val="none"/>
          <w:lang w:eastAsia="zh-CN"/>
        </w:rPr>
      </w:pPr>
      <w:r>
        <w:rPr>
          <w:rFonts w:hint="eastAsia" w:ascii="宋体" w:hAnsi="宋体" w:eastAsia="宋体" w:cs="宋体"/>
          <w:b w:val="0"/>
          <w:bCs w:val="0"/>
          <w:sz w:val="18"/>
          <w:szCs w:val="18"/>
          <w:highlight w:val="none"/>
          <w:u w:val="none"/>
          <w:lang w:eastAsia="zh-CN"/>
        </w:rPr>
        <w:t>四、双方权利义务</w:t>
      </w:r>
    </w:p>
    <w:p w14:paraId="3EE5675D">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color w:val="000000"/>
          <w:kern w:val="0"/>
          <w:sz w:val="18"/>
          <w:szCs w:val="18"/>
          <w:highlight w:val="none"/>
          <w:u w:val="none"/>
          <w:lang w:eastAsia="zh-CN"/>
        </w:rPr>
      </w:pPr>
      <w:r>
        <w:rPr>
          <w:rFonts w:hint="eastAsia" w:ascii="宋体" w:hAnsi="宋体" w:eastAsia="宋体" w:cs="宋体"/>
          <w:b w:val="0"/>
          <w:bCs w:val="0"/>
          <w:color w:val="000000"/>
          <w:kern w:val="0"/>
          <w:sz w:val="18"/>
          <w:szCs w:val="18"/>
          <w:highlight w:val="none"/>
          <w:u w:val="none"/>
          <w:lang w:val="en-US" w:eastAsia="zh-CN"/>
        </w:rPr>
        <w:t>1、乙方不允许加装充电桩以外的任何机器设备，</w:t>
      </w:r>
      <w:r>
        <w:rPr>
          <w:rFonts w:hint="eastAsia" w:ascii="宋体" w:hAnsi="宋体" w:eastAsia="宋体" w:cs="宋体"/>
          <w:b w:val="0"/>
          <w:bCs w:val="0"/>
          <w:color w:val="000000"/>
          <w:kern w:val="0"/>
          <w:sz w:val="18"/>
          <w:szCs w:val="18"/>
          <w:highlight w:val="none"/>
          <w:u w:val="none"/>
          <w:lang w:eastAsia="zh-CN"/>
        </w:rPr>
        <w:t>乙方电瓶车充电桩上不能有任何广告植入；</w:t>
      </w:r>
    </w:p>
    <w:p w14:paraId="4DB0C198">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default" w:ascii="宋体" w:hAnsi="宋体" w:eastAsia="宋体" w:cs="宋体"/>
          <w:b w:val="0"/>
          <w:bCs w:val="0"/>
          <w:color w:val="000000"/>
          <w:kern w:val="0"/>
          <w:sz w:val="18"/>
          <w:szCs w:val="18"/>
          <w:highlight w:val="none"/>
          <w:u w:val="none"/>
          <w:lang w:val="en-US" w:eastAsia="zh-CN"/>
        </w:rPr>
      </w:pPr>
      <w:r>
        <w:rPr>
          <w:rFonts w:hint="eastAsia" w:ascii="宋体" w:hAnsi="宋体" w:eastAsia="宋体" w:cs="宋体"/>
          <w:b w:val="0"/>
          <w:bCs w:val="0"/>
          <w:color w:val="000000"/>
          <w:kern w:val="0"/>
          <w:sz w:val="18"/>
          <w:szCs w:val="18"/>
          <w:highlight w:val="none"/>
          <w:u w:val="none"/>
          <w:lang w:val="en-US" w:eastAsia="zh-CN"/>
        </w:rPr>
        <w:t>2、乙方的平台收费运营须遵守中华人民共和国相关法律法规，乙方若有违反，甲方有权终止协议；</w:t>
      </w:r>
    </w:p>
    <w:p w14:paraId="1F97BA0F">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color w:val="000000"/>
          <w:kern w:val="0"/>
          <w:sz w:val="18"/>
          <w:szCs w:val="18"/>
          <w:highlight w:val="none"/>
          <w:u w:val="none"/>
          <w:lang w:eastAsia="zh-CN"/>
        </w:rPr>
      </w:pPr>
      <w:r>
        <w:rPr>
          <w:rFonts w:hint="eastAsia" w:ascii="宋体" w:hAnsi="宋体" w:eastAsia="宋体" w:cs="宋体"/>
          <w:b w:val="0"/>
          <w:bCs w:val="0"/>
          <w:color w:val="000000"/>
          <w:kern w:val="0"/>
          <w:sz w:val="18"/>
          <w:szCs w:val="18"/>
          <w:highlight w:val="none"/>
          <w:u w:val="none"/>
          <w:lang w:val="en-US" w:eastAsia="zh-CN"/>
        </w:rPr>
        <w:t>3、甲方无义务保管乙方设备，乙方负责处理设备故障报修、丢失、计费等问题，产生的工单投诉等由乙方负责解释。合作期间若因设备及经营等原因所造成财产损失或人身伤害，均由乙方承担全部责任并赔偿损失；</w:t>
      </w:r>
    </w:p>
    <w:p w14:paraId="412E46DC">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eastAsia="宋体" w:cs="宋体"/>
          <w:b w:val="0"/>
          <w:bCs w:val="0"/>
          <w:color w:val="000000"/>
          <w:kern w:val="0"/>
          <w:sz w:val="18"/>
          <w:szCs w:val="18"/>
          <w:highlight w:val="none"/>
          <w:u w:val="none"/>
          <w:lang w:eastAsia="zh-CN"/>
        </w:rPr>
      </w:pPr>
      <w:r>
        <w:rPr>
          <w:rFonts w:hint="eastAsia" w:ascii="宋体" w:hAnsi="宋体" w:eastAsia="宋体" w:cs="宋体"/>
          <w:b w:val="0"/>
          <w:bCs w:val="0"/>
          <w:color w:val="000000"/>
          <w:kern w:val="0"/>
          <w:sz w:val="18"/>
          <w:szCs w:val="18"/>
          <w:highlight w:val="none"/>
          <w:u w:val="none"/>
          <w:lang w:val="en-US" w:eastAsia="zh-CN"/>
        </w:rPr>
        <w:t>4、设备由乙方负责安装到位并进行日常运行管理维护。设备符合国家相关制造标准和规范，具备产品合格证或质量安全证书。</w:t>
      </w:r>
      <w:r>
        <w:rPr>
          <w:rFonts w:hint="eastAsia" w:ascii="宋体" w:hAnsi="宋体" w:eastAsia="宋体" w:cs="宋体"/>
          <w:b w:val="0"/>
          <w:bCs w:val="0"/>
          <w:color w:val="000000"/>
          <w:kern w:val="0"/>
          <w:sz w:val="18"/>
          <w:szCs w:val="18"/>
          <w:highlight w:val="none"/>
          <w:u w:val="none"/>
        </w:rPr>
        <w:t>充电箱设备本身质量问题产生的故障和破损（例如正常安全使用环境下的产品爆炸、产品自燃、产品自身质量问题等），由</w:t>
      </w:r>
      <w:r>
        <w:rPr>
          <w:rFonts w:hint="eastAsia" w:ascii="宋体" w:hAnsi="宋体" w:eastAsia="宋体" w:cs="宋体"/>
          <w:b w:val="0"/>
          <w:bCs w:val="0"/>
          <w:color w:val="000000"/>
          <w:kern w:val="0"/>
          <w:sz w:val="18"/>
          <w:szCs w:val="18"/>
          <w:highlight w:val="none"/>
          <w:u w:val="none"/>
          <w:lang w:eastAsia="zh-CN"/>
        </w:rPr>
        <w:t>乙方</w:t>
      </w:r>
      <w:r>
        <w:rPr>
          <w:rFonts w:hint="eastAsia" w:ascii="宋体" w:hAnsi="宋体" w:eastAsia="宋体" w:cs="宋体"/>
          <w:b w:val="0"/>
          <w:bCs w:val="0"/>
          <w:color w:val="000000"/>
          <w:kern w:val="0"/>
          <w:sz w:val="18"/>
          <w:szCs w:val="18"/>
          <w:highlight w:val="none"/>
          <w:u w:val="none"/>
        </w:rPr>
        <w:t>及产品制造商承担</w:t>
      </w:r>
      <w:r>
        <w:rPr>
          <w:rFonts w:hint="eastAsia" w:ascii="宋体" w:hAnsi="宋体" w:eastAsia="宋体" w:cs="宋体"/>
          <w:b w:val="0"/>
          <w:bCs w:val="0"/>
          <w:color w:val="000000"/>
          <w:kern w:val="0"/>
          <w:sz w:val="18"/>
          <w:szCs w:val="18"/>
          <w:highlight w:val="none"/>
          <w:u w:val="none"/>
          <w:lang w:eastAsia="zh-CN"/>
        </w:rPr>
        <w:t>，安全事故与甲方无关</w:t>
      </w:r>
      <w:r>
        <w:rPr>
          <w:rFonts w:hint="eastAsia" w:ascii="宋体" w:hAnsi="宋体" w:cs="宋体"/>
          <w:b w:val="0"/>
          <w:bCs w:val="0"/>
          <w:color w:val="000000"/>
          <w:kern w:val="0"/>
          <w:sz w:val="18"/>
          <w:szCs w:val="18"/>
          <w:highlight w:val="none"/>
          <w:u w:val="none"/>
          <w:lang w:eastAsia="zh-CN"/>
        </w:rPr>
        <w:t>；</w:t>
      </w:r>
    </w:p>
    <w:p w14:paraId="5A3051F7">
      <w:pPr>
        <w:keepNext w:val="0"/>
        <w:keepLines w:val="0"/>
        <w:pageBreakBefore w:val="0"/>
        <w:kinsoku/>
        <w:wordWrap/>
        <w:overflowPunct/>
        <w:topLinePunct w:val="0"/>
        <w:bidi w:val="0"/>
        <w:spacing w:line="340" w:lineRule="exact"/>
        <w:ind w:left="0" w:leftChars="0" w:firstLine="0" w:firstLineChars="0"/>
        <w:textAlignment w:val="auto"/>
        <w:rPr>
          <w:rFonts w:hint="eastAsia" w:ascii="宋体" w:hAnsi="宋体" w:eastAsia="宋体" w:cs="宋体"/>
          <w:b w:val="0"/>
          <w:bCs w:val="0"/>
          <w:color w:val="000000"/>
          <w:kern w:val="0"/>
          <w:sz w:val="18"/>
          <w:szCs w:val="18"/>
          <w:highlight w:val="none"/>
          <w:u w:val="none"/>
          <w:lang w:val="en-US" w:eastAsia="zh-CN"/>
        </w:rPr>
      </w:pPr>
      <w:r>
        <w:rPr>
          <w:rFonts w:hint="eastAsia" w:ascii="宋体" w:hAnsi="宋体" w:eastAsia="宋体" w:cs="宋体"/>
          <w:b w:val="0"/>
          <w:bCs w:val="0"/>
          <w:color w:val="000000"/>
          <w:kern w:val="0"/>
          <w:sz w:val="18"/>
          <w:szCs w:val="18"/>
          <w:highlight w:val="none"/>
          <w:u w:val="none"/>
          <w:lang w:val="en-US" w:eastAsia="zh-CN"/>
        </w:rPr>
        <w:t>5、乙方须承诺充电桩项目已购买保险，并保证在出现问题的时候有保险公司进行赔偿；若乙方不按时投保或不按时报备甲方，甲方经催告后仍不改正时，甲方有权解除本协议；</w:t>
      </w:r>
    </w:p>
    <w:p w14:paraId="43CBB44A">
      <w:pPr>
        <w:keepNext w:val="0"/>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line="340" w:lineRule="exact"/>
        <w:ind w:leftChars="0"/>
        <w:jc w:val="left"/>
        <w:textAlignment w:val="auto"/>
        <w:rPr>
          <w:rFonts w:hint="eastAsia" w:ascii="宋体" w:hAnsi="宋体" w:cs="宋体"/>
          <w:b w:val="0"/>
          <w:bCs w:val="0"/>
          <w:color w:val="000000"/>
          <w:kern w:val="0"/>
          <w:sz w:val="18"/>
          <w:szCs w:val="18"/>
          <w:highlight w:val="none"/>
          <w:u w:val="none"/>
          <w:lang w:eastAsia="zh-CN"/>
        </w:rPr>
      </w:pPr>
      <w:r>
        <w:rPr>
          <w:rFonts w:hint="eastAsia" w:ascii="宋体" w:hAnsi="宋体" w:eastAsia="宋体" w:cs="宋体"/>
          <w:b w:val="0"/>
          <w:bCs w:val="0"/>
          <w:color w:val="000000"/>
          <w:kern w:val="0"/>
          <w:sz w:val="18"/>
          <w:szCs w:val="18"/>
          <w:highlight w:val="none"/>
          <w:u w:val="none"/>
          <w:lang w:val="en-US" w:eastAsia="zh-CN"/>
        </w:rPr>
        <w:t>6、</w:t>
      </w:r>
      <w:r>
        <w:rPr>
          <w:rFonts w:hint="eastAsia" w:ascii="宋体" w:hAnsi="宋体" w:eastAsia="宋体" w:cs="宋体"/>
          <w:b w:val="0"/>
          <w:bCs w:val="0"/>
          <w:color w:val="000000"/>
          <w:kern w:val="0"/>
          <w:sz w:val="18"/>
          <w:szCs w:val="18"/>
          <w:highlight w:val="none"/>
          <w:u w:val="none"/>
          <w:lang w:eastAsia="zh-CN"/>
        </w:rPr>
        <w:t>乙方</w:t>
      </w:r>
      <w:r>
        <w:rPr>
          <w:rFonts w:hint="eastAsia" w:ascii="宋体" w:hAnsi="宋体" w:eastAsia="宋体" w:cs="宋体"/>
          <w:b w:val="0"/>
          <w:bCs w:val="0"/>
          <w:color w:val="000000"/>
          <w:kern w:val="0"/>
          <w:sz w:val="18"/>
          <w:szCs w:val="18"/>
          <w:highlight w:val="none"/>
          <w:u w:val="none"/>
        </w:rPr>
        <w:t>拥有充电设备的所有权</w:t>
      </w:r>
      <w:r>
        <w:rPr>
          <w:rFonts w:hint="eastAsia" w:ascii="宋体" w:hAnsi="宋体" w:cs="宋体"/>
          <w:b w:val="0"/>
          <w:bCs w:val="0"/>
          <w:color w:val="000000"/>
          <w:kern w:val="0"/>
          <w:sz w:val="18"/>
          <w:szCs w:val="18"/>
          <w:highlight w:val="none"/>
          <w:u w:val="none"/>
          <w:lang w:eastAsia="zh-CN"/>
        </w:rPr>
        <w:t>。</w:t>
      </w:r>
    </w:p>
    <w:p w14:paraId="09230BC1">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7、乙方项目负责人为</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u w:val="none"/>
          <w:lang w:val="en-US" w:eastAsia="zh-CN"/>
        </w:rPr>
        <w:t>，联系方式为：</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u w:val="none"/>
          <w:lang w:val="en-US" w:eastAsia="zh-CN"/>
        </w:rPr>
        <w:t>。</w:t>
      </w:r>
    </w:p>
    <w:p w14:paraId="193EE659">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五、违约责任</w:t>
      </w:r>
    </w:p>
    <w:p w14:paraId="61B30E8E">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1、乙方如不按照甲方规定摆放足量的充电桩、或摆放位置不遵从甲方的意愿，甲方有权对乙方进行处罚，并责令整改。甲方对乙方处以合同总价款30%的违约金处罚。</w:t>
      </w:r>
    </w:p>
    <w:p w14:paraId="7DDDEEE8">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color w:val="000000"/>
          <w:kern w:val="0"/>
          <w:sz w:val="18"/>
          <w:szCs w:val="18"/>
          <w:u w:val="none"/>
          <w:lang w:val="en-US" w:eastAsia="zh-CN"/>
        </w:rPr>
      </w:pPr>
      <w:r>
        <w:rPr>
          <w:rFonts w:hint="eastAsia" w:ascii="宋体" w:hAnsi="宋体" w:eastAsia="宋体" w:cs="宋体"/>
          <w:b w:val="0"/>
          <w:bCs w:val="0"/>
          <w:color w:val="000000"/>
          <w:kern w:val="0"/>
          <w:sz w:val="18"/>
          <w:szCs w:val="18"/>
          <w:u w:val="none"/>
          <w:lang w:val="en-US" w:eastAsia="zh-CN"/>
        </w:rPr>
        <w:t>2、对于因乙方入驻的充电桩出现的安全问题，对甲方造成的损失，由乙方负全责。且对乙方处以合同总价款30%的违约金处罚。</w:t>
      </w:r>
    </w:p>
    <w:p w14:paraId="70373FA9">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color w:val="000000"/>
          <w:kern w:val="0"/>
          <w:sz w:val="18"/>
          <w:szCs w:val="18"/>
          <w:u w:val="none"/>
          <w:lang w:val="en-US" w:eastAsia="zh-CN"/>
        </w:rPr>
      </w:pPr>
      <w:r>
        <w:rPr>
          <w:rFonts w:hint="eastAsia" w:ascii="宋体" w:hAnsi="宋体" w:eastAsia="宋体" w:cs="宋体"/>
          <w:b w:val="0"/>
          <w:bCs w:val="0"/>
          <w:color w:val="000000"/>
          <w:kern w:val="0"/>
          <w:sz w:val="18"/>
          <w:szCs w:val="18"/>
          <w:u w:val="none"/>
          <w:lang w:val="en-US" w:eastAsia="zh-CN"/>
        </w:rPr>
        <w:t>3、甲方对乙方的服务质量进行年度评价，由总务科负责监督考核乙方的服务，对于乙方服务不及时、巡检次数不达标等问题，甲方有权对乙方提出整改，乙方须在三日内整改到位，如在三日内乙方消极整改或不整改，甲方有权追究乙方责任，并且对乙方处以合同总价款30%的违约金处罚。如在十日内还不整改到位，甲方有权更换乙方，并终止与乙方的合作关系。</w:t>
      </w:r>
    </w:p>
    <w:p w14:paraId="3E2A93E2">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4、进场充电宝与投标时乙方承诺的充电宝厂家品牌等不一致的，甲方有权拒绝乙方进场或责令乙方离场。</w:t>
      </w:r>
    </w:p>
    <w:p w14:paraId="2894022F">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default"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5、乙方不按规定缴纳费用就进场的，甲方有权拒绝乙方进场或责令乙方离场。</w:t>
      </w:r>
    </w:p>
    <w:p w14:paraId="0EDD541B">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left"/>
        <w:textAlignment w:val="auto"/>
        <w:rPr>
          <w:rFonts w:hint="eastAsia" w:ascii="宋体" w:hAnsi="宋体" w:eastAsia="宋体" w:cs="宋体"/>
          <w:b w:val="0"/>
          <w:bCs w:val="0"/>
          <w:sz w:val="18"/>
          <w:szCs w:val="18"/>
          <w:u w:val="none"/>
          <w:lang w:val="en-US" w:eastAsia="zh-CN"/>
        </w:rPr>
      </w:pPr>
      <w:r>
        <w:rPr>
          <w:rFonts w:hint="eastAsia" w:ascii="宋体" w:hAnsi="宋体" w:cs="宋体"/>
          <w:b w:val="0"/>
          <w:bCs w:val="0"/>
          <w:sz w:val="18"/>
          <w:szCs w:val="18"/>
          <w:u w:val="none"/>
          <w:lang w:val="en-US" w:eastAsia="zh-CN"/>
        </w:rPr>
        <w:t>六</w:t>
      </w:r>
      <w:r>
        <w:rPr>
          <w:rFonts w:hint="eastAsia" w:ascii="宋体" w:hAnsi="宋体" w:eastAsia="宋体" w:cs="宋体"/>
          <w:b w:val="0"/>
          <w:bCs w:val="0"/>
          <w:sz w:val="18"/>
          <w:szCs w:val="18"/>
          <w:u w:val="none"/>
          <w:lang w:val="en-US" w:eastAsia="zh-CN"/>
        </w:rPr>
        <w:t>、合同的变更和终止</w:t>
      </w:r>
    </w:p>
    <w:p w14:paraId="048E2730">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1、除《政府采购法》第50条第二款规定的情形外，本合同一经签订，甲乙双方不得擅自变更、中止或终止合同。</w:t>
      </w:r>
    </w:p>
    <w:p w14:paraId="2028C333">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2、除发生法律规定的不能预见，不能避免并不能克服的客观情况外，甲乙双方不得放弃或拒绝履行合同，乙方放弃或拒绝履行合同，乙方应按合同总价的30%承担违约责任，在三年内不得参加南京市溧水区人民医院采购活动。</w:t>
      </w:r>
    </w:p>
    <w:p w14:paraId="1301F751">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left"/>
        <w:textAlignment w:val="auto"/>
        <w:rPr>
          <w:rFonts w:hint="eastAsia" w:ascii="宋体" w:hAnsi="宋体" w:eastAsia="宋体" w:cs="宋体"/>
          <w:b w:val="0"/>
          <w:bCs w:val="0"/>
          <w:sz w:val="18"/>
          <w:szCs w:val="18"/>
          <w:u w:val="none"/>
          <w:lang w:val="en-US" w:eastAsia="zh-CN"/>
        </w:rPr>
      </w:pPr>
      <w:r>
        <w:rPr>
          <w:rFonts w:hint="eastAsia" w:ascii="宋体" w:hAnsi="宋体" w:cs="宋体"/>
          <w:b w:val="0"/>
          <w:bCs w:val="0"/>
          <w:sz w:val="18"/>
          <w:szCs w:val="18"/>
          <w:u w:val="none"/>
          <w:lang w:val="en-US" w:eastAsia="zh-CN"/>
        </w:rPr>
        <w:t>七</w:t>
      </w:r>
      <w:r>
        <w:rPr>
          <w:rFonts w:hint="eastAsia" w:ascii="宋体" w:hAnsi="宋体" w:eastAsia="宋体" w:cs="宋体"/>
          <w:b w:val="0"/>
          <w:bCs w:val="0"/>
          <w:sz w:val="18"/>
          <w:szCs w:val="18"/>
          <w:u w:val="none"/>
          <w:lang w:val="en-US" w:eastAsia="zh-CN"/>
        </w:rPr>
        <w:t>、合同的转让</w:t>
      </w:r>
    </w:p>
    <w:p w14:paraId="1C23F57B">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乙方不得擅自部分或全部转让其</w:t>
      </w:r>
      <w:r>
        <w:rPr>
          <w:rFonts w:hint="eastAsia" w:ascii="宋体" w:hAnsi="宋体" w:cs="宋体"/>
          <w:b w:val="0"/>
          <w:bCs w:val="0"/>
          <w:sz w:val="18"/>
          <w:szCs w:val="18"/>
          <w:u w:val="none"/>
          <w:lang w:val="en-US" w:eastAsia="zh-CN"/>
        </w:rPr>
        <w:t>应</w:t>
      </w:r>
      <w:r>
        <w:rPr>
          <w:rFonts w:hint="eastAsia" w:ascii="宋体" w:hAnsi="宋体" w:eastAsia="宋体" w:cs="宋体"/>
          <w:b w:val="0"/>
          <w:bCs w:val="0"/>
          <w:sz w:val="18"/>
          <w:szCs w:val="18"/>
          <w:u w:val="none"/>
          <w:lang w:val="en-US" w:eastAsia="zh-CN"/>
        </w:rPr>
        <w:t>履行的合同义务。</w:t>
      </w:r>
    </w:p>
    <w:p w14:paraId="5EED5DC0">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left"/>
        <w:textAlignment w:val="auto"/>
        <w:rPr>
          <w:rFonts w:hint="eastAsia" w:ascii="宋体" w:hAnsi="宋体" w:eastAsia="宋体" w:cs="宋体"/>
          <w:b w:val="0"/>
          <w:bCs w:val="0"/>
          <w:sz w:val="18"/>
          <w:szCs w:val="18"/>
          <w:u w:val="none"/>
          <w:lang w:eastAsia="zh-CN"/>
        </w:rPr>
      </w:pPr>
      <w:r>
        <w:rPr>
          <w:rFonts w:hint="eastAsia" w:ascii="宋体" w:hAnsi="宋体" w:cs="宋体"/>
          <w:b w:val="0"/>
          <w:bCs w:val="0"/>
          <w:sz w:val="18"/>
          <w:szCs w:val="18"/>
          <w:u w:val="none"/>
          <w:lang w:eastAsia="zh-CN"/>
        </w:rPr>
        <w:t>八</w:t>
      </w:r>
      <w:r>
        <w:rPr>
          <w:rFonts w:hint="eastAsia" w:ascii="宋体" w:hAnsi="宋体" w:eastAsia="宋体" w:cs="宋体"/>
          <w:b w:val="0"/>
          <w:bCs w:val="0"/>
          <w:sz w:val="18"/>
          <w:szCs w:val="18"/>
          <w:u w:val="none"/>
          <w:lang w:eastAsia="zh-CN"/>
        </w:rPr>
        <w:t xml:space="preserve">、争议的解决  </w:t>
      </w:r>
    </w:p>
    <w:p w14:paraId="56036BC9">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因履行本合同引起的或与本合同有关的争议，甲、乙双方应首先通过友好协商解决，如果协商不能解决争议，可向甲方所在地有管辖权的人民法院提起诉讼。在诉讼期间，本合同应继续履行。</w:t>
      </w:r>
    </w:p>
    <w:p w14:paraId="1F38DAC2">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rPr>
      </w:pPr>
      <w:r>
        <w:rPr>
          <w:rFonts w:hint="eastAsia" w:ascii="宋体" w:hAnsi="宋体" w:cs="宋体"/>
          <w:b w:val="0"/>
          <w:bCs w:val="0"/>
          <w:sz w:val="18"/>
          <w:szCs w:val="18"/>
          <w:u w:val="none"/>
          <w:lang w:eastAsia="zh-CN"/>
        </w:rPr>
        <w:t>九</w:t>
      </w:r>
      <w:r>
        <w:rPr>
          <w:rFonts w:hint="eastAsia" w:ascii="宋体" w:hAnsi="宋体" w:eastAsia="宋体" w:cs="宋体"/>
          <w:b w:val="0"/>
          <w:bCs w:val="0"/>
          <w:sz w:val="18"/>
          <w:szCs w:val="18"/>
          <w:u w:val="none"/>
          <w:lang w:eastAsia="zh-CN"/>
        </w:rPr>
        <w:t>、</w:t>
      </w:r>
      <w:r>
        <w:rPr>
          <w:rFonts w:hint="eastAsia" w:ascii="宋体" w:hAnsi="宋体" w:eastAsia="宋体" w:cs="宋体"/>
          <w:b w:val="0"/>
          <w:bCs w:val="0"/>
          <w:sz w:val="18"/>
          <w:szCs w:val="18"/>
          <w:u w:val="none"/>
        </w:rPr>
        <w:t xml:space="preserve">合同生效及其他 </w:t>
      </w:r>
    </w:p>
    <w:p w14:paraId="436C5430">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1、</w:t>
      </w:r>
      <w:r>
        <w:rPr>
          <w:rFonts w:hint="eastAsia" w:ascii="宋体" w:hAnsi="宋体" w:eastAsia="宋体" w:cs="宋体"/>
          <w:b w:val="0"/>
          <w:bCs w:val="0"/>
          <w:sz w:val="18"/>
          <w:szCs w:val="18"/>
          <w:u w:val="none"/>
        </w:rPr>
        <w:t>本合同中的任何一款与国家相关法律法规强制性规定有冲突时，按照国家相关法律法规执行。</w:t>
      </w:r>
    </w:p>
    <w:p w14:paraId="0FD604FB">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lang w:val="en-US" w:eastAsia="zh-CN"/>
        </w:rPr>
        <w:t>2</w:t>
      </w:r>
      <w:r>
        <w:rPr>
          <w:rFonts w:hint="eastAsia" w:ascii="宋体" w:hAnsi="宋体" w:eastAsia="宋体" w:cs="宋体"/>
          <w:b w:val="0"/>
          <w:bCs w:val="0"/>
          <w:sz w:val="18"/>
          <w:szCs w:val="18"/>
          <w:u w:val="none"/>
        </w:rPr>
        <w:t>、本合同经双方法定代表人或授权委托代表人签字或签章并加盖单位公章后生效。</w:t>
      </w:r>
    </w:p>
    <w:p w14:paraId="402B9D4B">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3、</w:t>
      </w:r>
      <w:r>
        <w:rPr>
          <w:rFonts w:hint="eastAsia" w:ascii="宋体" w:hAnsi="宋体" w:eastAsia="宋体" w:cs="宋体"/>
          <w:b w:val="0"/>
          <w:bCs w:val="0"/>
          <w:color w:val="000000"/>
          <w:kern w:val="0"/>
          <w:sz w:val="18"/>
          <w:szCs w:val="18"/>
          <w:u w:val="none"/>
        </w:rPr>
        <w:t>本合同附件是本合同不可分割的一部分，与本合同具有同等法律效力。</w:t>
      </w:r>
    </w:p>
    <w:p w14:paraId="2FCB56CB">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lang w:val="en-US" w:eastAsia="zh-CN"/>
        </w:rPr>
        <w:t>4、</w:t>
      </w:r>
      <w:r>
        <w:rPr>
          <w:rFonts w:hint="eastAsia" w:ascii="宋体" w:hAnsi="宋体" w:eastAsia="宋体" w:cs="宋体"/>
          <w:b w:val="0"/>
          <w:bCs w:val="0"/>
          <w:sz w:val="18"/>
          <w:szCs w:val="18"/>
          <w:u w:val="none"/>
        </w:rPr>
        <w:t>本合同正本一式</w:t>
      </w:r>
      <w:r>
        <w:rPr>
          <w:rFonts w:hint="eastAsia" w:ascii="宋体" w:hAnsi="宋体" w:eastAsia="宋体" w:cs="宋体"/>
          <w:b w:val="0"/>
          <w:bCs w:val="0"/>
          <w:sz w:val="18"/>
          <w:szCs w:val="18"/>
          <w:u w:val="none"/>
          <w:lang w:eastAsia="zh-CN"/>
        </w:rPr>
        <w:t>叁</w:t>
      </w:r>
      <w:r>
        <w:rPr>
          <w:rFonts w:hint="eastAsia" w:ascii="宋体" w:hAnsi="宋体" w:eastAsia="宋体" w:cs="宋体"/>
          <w:b w:val="0"/>
          <w:bCs w:val="0"/>
          <w:sz w:val="18"/>
          <w:szCs w:val="18"/>
          <w:u w:val="none"/>
        </w:rPr>
        <w:t>份，具有同等法律效力，甲</w:t>
      </w:r>
      <w:r>
        <w:rPr>
          <w:rFonts w:hint="eastAsia" w:ascii="宋体" w:hAnsi="宋体" w:eastAsia="宋体" w:cs="宋体"/>
          <w:b w:val="0"/>
          <w:bCs w:val="0"/>
          <w:sz w:val="18"/>
          <w:szCs w:val="18"/>
          <w:u w:val="none"/>
          <w:lang w:eastAsia="zh-CN"/>
        </w:rPr>
        <w:t>方执两份，乙方执一份</w:t>
      </w:r>
      <w:r>
        <w:rPr>
          <w:rFonts w:hint="eastAsia" w:ascii="宋体" w:hAnsi="宋体" w:eastAsia="宋体" w:cs="宋体"/>
          <w:b w:val="0"/>
          <w:bCs w:val="0"/>
          <w:sz w:val="18"/>
          <w:szCs w:val="18"/>
          <w:u w:val="none"/>
        </w:rPr>
        <w:t>。（以下无正文）</w:t>
      </w:r>
    </w:p>
    <w:p w14:paraId="7D79B7FC">
      <w:pPr>
        <w:autoSpaceDE w:val="0"/>
        <w:autoSpaceDN w:val="0"/>
        <w:adjustRightInd w:val="0"/>
        <w:spacing w:line="400" w:lineRule="exact"/>
        <w:ind w:firstLine="270" w:firstLineChars="150"/>
        <w:jc w:val="left"/>
        <w:rPr>
          <w:rFonts w:hint="eastAsia" w:cs="仿宋"/>
          <w:b w:val="0"/>
          <w:bCs w:val="0"/>
          <w:sz w:val="18"/>
          <w:szCs w:val="18"/>
          <w:u w:val="none"/>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4C315FC3"/>
    <w:multiLevelType w:val="singleLevel"/>
    <w:tmpl w:val="4C315FC3"/>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20A533B"/>
    <w:rsid w:val="054170C6"/>
    <w:rsid w:val="05F01509"/>
    <w:rsid w:val="0727186C"/>
    <w:rsid w:val="08C3481A"/>
    <w:rsid w:val="09594CC4"/>
    <w:rsid w:val="0C351327"/>
    <w:rsid w:val="0CDB51C5"/>
    <w:rsid w:val="0DCD726B"/>
    <w:rsid w:val="11140D0D"/>
    <w:rsid w:val="113D0264"/>
    <w:rsid w:val="15F9365C"/>
    <w:rsid w:val="172E012D"/>
    <w:rsid w:val="17547981"/>
    <w:rsid w:val="17A80770"/>
    <w:rsid w:val="1C2529FF"/>
    <w:rsid w:val="1F8E1CF8"/>
    <w:rsid w:val="21035955"/>
    <w:rsid w:val="23201F60"/>
    <w:rsid w:val="232C1E94"/>
    <w:rsid w:val="25D32AED"/>
    <w:rsid w:val="274A419B"/>
    <w:rsid w:val="278F4358"/>
    <w:rsid w:val="27BB1274"/>
    <w:rsid w:val="288829C2"/>
    <w:rsid w:val="289C7F3C"/>
    <w:rsid w:val="29220EF6"/>
    <w:rsid w:val="2C4F66C1"/>
    <w:rsid w:val="2C917248"/>
    <w:rsid w:val="2FAB0A48"/>
    <w:rsid w:val="312F39C2"/>
    <w:rsid w:val="3361798A"/>
    <w:rsid w:val="34E30FF8"/>
    <w:rsid w:val="362E19ED"/>
    <w:rsid w:val="38477A29"/>
    <w:rsid w:val="3B522D42"/>
    <w:rsid w:val="3C1341E6"/>
    <w:rsid w:val="3D5F13DF"/>
    <w:rsid w:val="3F8C69B3"/>
    <w:rsid w:val="403F29F9"/>
    <w:rsid w:val="4045536F"/>
    <w:rsid w:val="424E09CC"/>
    <w:rsid w:val="4287437F"/>
    <w:rsid w:val="43B15A7D"/>
    <w:rsid w:val="44F34016"/>
    <w:rsid w:val="46404CE5"/>
    <w:rsid w:val="48665371"/>
    <w:rsid w:val="49675177"/>
    <w:rsid w:val="49C5228A"/>
    <w:rsid w:val="49C82D31"/>
    <w:rsid w:val="4A9311B5"/>
    <w:rsid w:val="4AE5697A"/>
    <w:rsid w:val="4B2058B1"/>
    <w:rsid w:val="4B8054E5"/>
    <w:rsid w:val="4CD10909"/>
    <w:rsid w:val="4CFA195C"/>
    <w:rsid w:val="50C3182D"/>
    <w:rsid w:val="50C939BF"/>
    <w:rsid w:val="51644DBE"/>
    <w:rsid w:val="567C0974"/>
    <w:rsid w:val="57623B4D"/>
    <w:rsid w:val="591438A3"/>
    <w:rsid w:val="5A054C64"/>
    <w:rsid w:val="5B5072E3"/>
    <w:rsid w:val="5C314C9D"/>
    <w:rsid w:val="5DDD2297"/>
    <w:rsid w:val="5FB177E8"/>
    <w:rsid w:val="62620EA5"/>
    <w:rsid w:val="65984BDE"/>
    <w:rsid w:val="66E44404"/>
    <w:rsid w:val="6A04258F"/>
    <w:rsid w:val="6BF16DF6"/>
    <w:rsid w:val="6DD95D94"/>
    <w:rsid w:val="6E3F1A2D"/>
    <w:rsid w:val="6EA53724"/>
    <w:rsid w:val="71363BAA"/>
    <w:rsid w:val="72E176CB"/>
    <w:rsid w:val="74C21625"/>
    <w:rsid w:val="765121C2"/>
    <w:rsid w:val="771860A1"/>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4590</Words>
  <Characters>4820</Characters>
  <Lines>36</Lines>
  <Paragraphs>10</Paragraphs>
  <TotalTime>37</TotalTime>
  <ScaleCrop>false</ScaleCrop>
  <LinksUpToDate>false</LinksUpToDate>
  <CharactersWithSpaces>4914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dcterms:modified xsi:type="dcterms:W3CDTF">2024-09-30T09:40:27Z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CB3E502013054F288E0573F14053D6B8_13</vt:lpwstr>
  </property>
</Properties>
</file>