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B2212">
      <w:pPr>
        <w:jc w:val="left"/>
        <w:rPr>
          <w:b/>
          <w:bCs/>
          <w:sz w:val="24"/>
        </w:rPr>
      </w:pPr>
      <w:r>
        <w:rPr>
          <w:rFonts w:hint="eastAsia" w:ascii="仿宋" w:hAnsi="仿宋" w:eastAsia="仿宋"/>
          <w:b/>
          <w:bCs/>
          <w:sz w:val="28"/>
          <w:szCs w:val="28"/>
        </w:rPr>
        <w:t>附件2：南京市溧水区人民医院门诊二楼</w:t>
      </w:r>
      <w:bookmarkStart w:id="0" w:name="_GoBack"/>
      <w:bookmarkEnd w:id="0"/>
      <w:r>
        <w:rPr>
          <w:rFonts w:hint="eastAsia" w:ascii="仿宋" w:hAnsi="仿宋" w:eastAsia="仿宋"/>
          <w:b/>
          <w:bCs/>
          <w:sz w:val="28"/>
          <w:szCs w:val="28"/>
        </w:rPr>
        <w:t>药店评分细则</w:t>
      </w:r>
    </w:p>
    <w:tbl>
      <w:tblPr>
        <w:tblStyle w:val="2"/>
        <w:tblW w:w="10690" w:type="dxa"/>
        <w:jc w:val="center"/>
        <w:tblLayout w:type="autofit"/>
        <w:tblCellMar>
          <w:top w:w="0" w:type="dxa"/>
          <w:left w:w="108" w:type="dxa"/>
          <w:bottom w:w="0" w:type="dxa"/>
          <w:right w:w="108" w:type="dxa"/>
        </w:tblCellMar>
      </w:tblPr>
      <w:tblGrid>
        <w:gridCol w:w="815"/>
        <w:gridCol w:w="694"/>
        <w:gridCol w:w="1351"/>
        <w:gridCol w:w="7830"/>
      </w:tblGrid>
      <w:tr w14:paraId="5992A425">
        <w:tblPrEx>
          <w:tblCellMar>
            <w:top w:w="0" w:type="dxa"/>
            <w:left w:w="108" w:type="dxa"/>
            <w:bottom w:w="0" w:type="dxa"/>
            <w:right w:w="108" w:type="dxa"/>
          </w:tblCellMar>
        </w:tblPrEx>
        <w:trPr>
          <w:trHeight w:val="1080" w:hRule="atLeast"/>
          <w:jc w:val="center"/>
        </w:trPr>
        <w:tc>
          <w:tcPr>
            <w:tcW w:w="815" w:type="dxa"/>
            <w:tcBorders>
              <w:top w:val="single" w:color="000000" w:sz="4" w:space="0"/>
              <w:left w:val="single" w:color="000000" w:sz="4" w:space="0"/>
              <w:bottom w:val="single" w:color="000000" w:sz="4" w:space="0"/>
              <w:right w:val="single" w:color="000000" w:sz="4" w:space="0"/>
            </w:tcBorders>
            <w:noWrap w:val="0"/>
            <w:vAlign w:val="center"/>
          </w:tcPr>
          <w:p w14:paraId="7BE7F9B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报价</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08A449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CD9FE1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50202657">
            <w:pPr>
              <w:widowControl/>
              <w:jc w:val="left"/>
              <w:textAlignment w:val="center"/>
              <w:rPr>
                <w:rFonts w:ascii="仿宋" w:hAnsi="仿宋" w:eastAsia="仿宋" w:cs="仿宋"/>
                <w:color w:val="000000"/>
                <w:kern w:val="0"/>
                <w:sz w:val="22"/>
                <w:szCs w:val="22"/>
                <w:lang w:bidi="ar"/>
              </w:rPr>
            </w:pPr>
          </w:p>
          <w:p w14:paraId="20DB3D3F">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满足评估价70万／年得50分，低于评估价不得分，每增加一万加0.5分，最多加5分。</w:t>
            </w:r>
          </w:p>
        </w:tc>
      </w:tr>
      <w:tr w14:paraId="3F8DC2FA">
        <w:tblPrEx>
          <w:tblCellMar>
            <w:top w:w="0" w:type="dxa"/>
            <w:left w:w="108" w:type="dxa"/>
            <w:bottom w:w="0" w:type="dxa"/>
            <w:right w:w="108" w:type="dxa"/>
          </w:tblCellMar>
        </w:tblPrEx>
        <w:trPr>
          <w:trHeight w:val="125"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2BB72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履约能力</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6EB5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62C4116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226592AE">
            <w:pPr>
              <w:pStyle w:val="4"/>
              <w:widowControl/>
              <w:numPr>
                <w:ilvl w:val="0"/>
                <w:numId w:val="1"/>
              </w:numPr>
              <w:ind w:firstLineChars="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4"/>
                <w:lang w:bidi="ar"/>
              </w:rPr>
              <w:t>根据意向受让方经营资质、医保资质等方面评分（满分5分）：请提供营业执照、药品经营许可证、医保双通道资质相关证明材料，复印件加盖公章，原件备查。                                                                                                                       （1）经营资质合规但不具备医保双通道资质得3分；                                                                                                                         （2）经营资质合规且具备医保双通道资质或投标人可承诺中标后自合同签定完三个月内办理完医保双通道资质，得5分（提供双通道资质复印件，加盖公章，或提供三个月内办理完医保双通道资质承诺函，加盖公章，未提供不得分）。</w:t>
            </w:r>
          </w:p>
        </w:tc>
      </w:tr>
      <w:tr w14:paraId="2E8E163E">
        <w:tblPrEx>
          <w:tblCellMar>
            <w:top w:w="0" w:type="dxa"/>
            <w:left w:w="108" w:type="dxa"/>
            <w:bottom w:w="0" w:type="dxa"/>
            <w:right w:w="108" w:type="dxa"/>
          </w:tblCellMar>
        </w:tblPrEx>
        <w:trPr>
          <w:trHeight w:val="537"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45744">
            <w:pPr>
              <w:jc w:val="center"/>
              <w:rPr>
                <w:rFonts w:hint="eastAsia" w:ascii="仿宋" w:hAnsi="仿宋" w:eastAsia="仿宋" w:cs="仿宋"/>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3F1E4">
            <w:pPr>
              <w:jc w:val="center"/>
              <w:rPr>
                <w:rFonts w:hint="eastAsia" w:ascii="仿宋" w:hAnsi="仿宋" w:eastAsia="仿宋" w:cs="仿宋"/>
                <w:color w:val="000000"/>
                <w:sz w:val="22"/>
                <w:szCs w:val="22"/>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640EA12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3745689F">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2、根据意向受让方江苏省内三级及以上医疗机构内开设并正在经营的院内药房案例评分（满分6分）：请提供合同或协议以及门店实地照片、营业执照等证明材料并加盖公司公章。</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（1）开设并正在经营的院内药房，每1家得3分，满分6分。</w:t>
            </w:r>
          </w:p>
        </w:tc>
      </w:tr>
      <w:tr w14:paraId="0DBBE3AD">
        <w:tblPrEx>
          <w:tblCellMar>
            <w:top w:w="0" w:type="dxa"/>
            <w:left w:w="108" w:type="dxa"/>
            <w:bottom w:w="0" w:type="dxa"/>
            <w:right w:w="108" w:type="dxa"/>
          </w:tblCellMar>
        </w:tblPrEx>
        <w:trPr>
          <w:trHeight w:val="9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39C6E">
            <w:pPr>
              <w:jc w:val="center"/>
              <w:rPr>
                <w:rFonts w:hint="eastAsia" w:ascii="仿宋" w:hAnsi="仿宋" w:eastAsia="仿宋" w:cs="仿宋"/>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57580">
            <w:pPr>
              <w:jc w:val="center"/>
              <w:rPr>
                <w:rFonts w:hint="eastAsia" w:ascii="仿宋" w:hAnsi="仿宋" w:eastAsia="仿宋" w:cs="仿宋"/>
                <w:color w:val="000000"/>
                <w:sz w:val="22"/>
                <w:szCs w:val="22"/>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9FA4F6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5B228C7E">
            <w:pPr>
              <w:widowControl/>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3、根据意向受让方2024年1-6月正在经营的医保双通道品规数评分（满分1</w:t>
            </w:r>
            <w:r>
              <w:rPr>
                <w:rFonts w:hint="eastAsia" w:ascii="仿宋" w:hAnsi="仿宋" w:eastAsia="仿宋" w:cs="仿宋"/>
                <w:color w:val="auto"/>
                <w:kern w:val="0"/>
                <w:sz w:val="24"/>
                <w:lang w:val="en-US" w:eastAsia="zh-CN" w:bidi="ar"/>
              </w:rPr>
              <w:t>1</w:t>
            </w:r>
            <w:r>
              <w:rPr>
                <w:rFonts w:hint="eastAsia" w:ascii="仿宋" w:hAnsi="仿宋" w:eastAsia="仿宋" w:cs="仿宋"/>
                <w:color w:val="auto"/>
                <w:kern w:val="0"/>
                <w:sz w:val="24"/>
                <w:lang w:bidi="ar"/>
              </w:rPr>
              <w:t>分）:请提供所经营品种的购进发票并加盖公司公章。</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（1）所经营双通道品种，每1个品规得0.5分，满分11分。</w:t>
            </w:r>
          </w:p>
        </w:tc>
      </w:tr>
      <w:tr w14:paraId="043307D9">
        <w:tblPrEx>
          <w:tblCellMar>
            <w:top w:w="0" w:type="dxa"/>
            <w:left w:w="108" w:type="dxa"/>
            <w:bottom w:w="0" w:type="dxa"/>
            <w:right w:w="108" w:type="dxa"/>
          </w:tblCellMar>
        </w:tblPrEx>
        <w:trPr>
          <w:trHeight w:val="157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8B1A1">
            <w:pPr>
              <w:jc w:val="center"/>
              <w:rPr>
                <w:rFonts w:hint="eastAsia" w:ascii="仿宋" w:hAnsi="仿宋" w:eastAsia="仿宋" w:cs="仿宋"/>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7122D">
            <w:pPr>
              <w:jc w:val="center"/>
              <w:rPr>
                <w:rFonts w:hint="eastAsia" w:ascii="仿宋" w:hAnsi="仿宋" w:eastAsia="仿宋" w:cs="仿宋"/>
                <w:color w:val="000000"/>
                <w:sz w:val="22"/>
                <w:szCs w:val="22"/>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5A2477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4C4E9905">
            <w:pPr>
              <w:widowControl/>
              <w:numPr>
                <w:ilvl w:val="0"/>
                <w:numId w:val="2"/>
              </w:numP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项目实施方案概述，包括但不限于经营管理理念、管理制度及措施等（满分5分）：根据提供的针对本项目的药店经营管理整体设想及策划方案、具有与本项目适用的经营管理架构及管理制度、内部职责分工和考核标准等酌情评分。（意向受让方提供方案资料）</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（1）方案全面，对本项目针对性强，可实施性强的得5分；</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（2）方案较全面，对本项目针对性较强，可实施性较强的得3分；</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（3）方案全面性一般，对本项目针对性不强，可实施性不强的得1分</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（4）其他或未提供的不得分。</w:t>
            </w:r>
          </w:p>
          <w:p w14:paraId="7A232E59">
            <w:pPr>
              <w:rPr>
                <w:rFonts w:hint="eastAsia" w:ascii="仿宋" w:hAnsi="仿宋" w:eastAsia="仿宋" w:cs="宋体"/>
                <w:bCs/>
                <w:color w:val="auto"/>
                <w:sz w:val="22"/>
                <w:szCs w:val="22"/>
                <w:lang w:val="zh-CN"/>
              </w:rPr>
            </w:pPr>
            <w:r>
              <w:rPr>
                <w:rFonts w:hint="eastAsia" w:ascii="仿宋" w:hAnsi="仿宋" w:eastAsia="仿宋" w:cs="宋体"/>
                <w:bCs/>
                <w:color w:val="auto"/>
                <w:sz w:val="22"/>
                <w:szCs w:val="22"/>
              </w:rPr>
              <w:t>5.质量管控：意向受让方须有一系列保证服务质量的制度、实施方案和考核办法，根据应答情况打分</w:t>
            </w:r>
          </w:p>
          <w:p w14:paraId="4918CEA4">
            <w:pPr>
              <w:rPr>
                <w:rFonts w:hint="eastAsia" w:ascii="仿宋" w:hAnsi="仿宋" w:eastAsia="仿宋" w:cs="宋体"/>
                <w:bCs/>
                <w:color w:val="auto"/>
                <w:sz w:val="22"/>
                <w:szCs w:val="22"/>
                <w:lang w:val="zh-CN"/>
              </w:rPr>
            </w:pPr>
            <w:r>
              <w:rPr>
                <w:rFonts w:hint="eastAsia" w:ascii="仿宋" w:hAnsi="仿宋" w:eastAsia="仿宋" w:cs="宋体"/>
                <w:bCs/>
                <w:color w:val="auto"/>
                <w:sz w:val="22"/>
                <w:szCs w:val="22"/>
                <w:lang w:val="zh-CN"/>
              </w:rPr>
              <w:t>①方案全面、合理，具有针对性，科学合理具备可执行性的得</w:t>
            </w:r>
            <w:r>
              <w:rPr>
                <w:rFonts w:hint="eastAsia" w:ascii="仿宋" w:hAnsi="仿宋" w:eastAsia="仿宋" w:cs="宋体"/>
                <w:bCs/>
                <w:color w:val="auto"/>
                <w:sz w:val="22"/>
                <w:szCs w:val="22"/>
              </w:rPr>
              <w:t>5</w:t>
            </w:r>
            <w:r>
              <w:rPr>
                <w:rFonts w:hint="eastAsia" w:ascii="仿宋" w:hAnsi="仿宋" w:eastAsia="仿宋" w:cs="宋体"/>
                <w:bCs/>
                <w:color w:val="auto"/>
                <w:sz w:val="22"/>
                <w:szCs w:val="22"/>
                <w:lang w:val="zh-CN"/>
              </w:rPr>
              <w:t>分；</w:t>
            </w:r>
          </w:p>
          <w:p w14:paraId="02028021">
            <w:pPr>
              <w:rPr>
                <w:rFonts w:hint="eastAsia" w:ascii="仿宋" w:hAnsi="仿宋" w:eastAsia="仿宋" w:cs="宋体"/>
                <w:bCs/>
                <w:color w:val="auto"/>
                <w:sz w:val="22"/>
                <w:szCs w:val="22"/>
                <w:lang w:val="zh-CN"/>
              </w:rPr>
            </w:pPr>
            <w:r>
              <w:rPr>
                <w:rFonts w:hint="eastAsia" w:ascii="仿宋" w:hAnsi="仿宋" w:eastAsia="仿宋" w:cs="宋体"/>
                <w:bCs/>
                <w:color w:val="auto"/>
                <w:sz w:val="22"/>
                <w:szCs w:val="22"/>
                <w:lang w:val="zh-CN"/>
              </w:rPr>
              <w:t>②方案考虑的相对不够全面，但依旧具备可行性的得</w:t>
            </w:r>
            <w:r>
              <w:rPr>
                <w:rFonts w:hint="eastAsia" w:ascii="仿宋" w:hAnsi="仿宋" w:eastAsia="仿宋" w:cs="宋体"/>
                <w:bCs/>
                <w:color w:val="auto"/>
                <w:sz w:val="22"/>
                <w:szCs w:val="22"/>
              </w:rPr>
              <w:t>3</w:t>
            </w:r>
            <w:r>
              <w:rPr>
                <w:rFonts w:hint="eastAsia" w:ascii="仿宋" w:hAnsi="仿宋" w:eastAsia="仿宋" w:cs="宋体"/>
                <w:bCs/>
                <w:color w:val="auto"/>
                <w:sz w:val="22"/>
                <w:szCs w:val="22"/>
                <w:lang w:val="zh-CN"/>
              </w:rPr>
              <w:t>分；</w:t>
            </w:r>
          </w:p>
          <w:p w14:paraId="0145840A">
            <w:pPr>
              <w:rPr>
                <w:rFonts w:hint="eastAsia" w:ascii="仿宋" w:hAnsi="仿宋" w:eastAsia="仿宋" w:cs="宋体"/>
                <w:bCs/>
                <w:color w:val="auto"/>
                <w:sz w:val="22"/>
                <w:szCs w:val="22"/>
                <w:lang w:val="zh-CN"/>
              </w:rPr>
            </w:pPr>
            <w:r>
              <w:rPr>
                <w:rFonts w:hint="eastAsia" w:ascii="仿宋" w:hAnsi="仿宋" w:eastAsia="仿宋" w:cs="宋体"/>
                <w:bCs/>
                <w:color w:val="auto"/>
                <w:sz w:val="22"/>
                <w:szCs w:val="22"/>
                <w:lang w:val="zh-CN"/>
              </w:rPr>
              <w:t>③方案不全面、不具备可执行性的得</w:t>
            </w:r>
            <w:r>
              <w:rPr>
                <w:rFonts w:hint="eastAsia" w:ascii="仿宋" w:hAnsi="仿宋" w:eastAsia="仿宋" w:cs="宋体"/>
                <w:bCs/>
                <w:color w:val="auto"/>
                <w:sz w:val="22"/>
                <w:szCs w:val="22"/>
              </w:rPr>
              <w:t>1</w:t>
            </w:r>
            <w:r>
              <w:rPr>
                <w:rFonts w:hint="eastAsia" w:ascii="仿宋" w:hAnsi="仿宋" w:eastAsia="仿宋" w:cs="宋体"/>
                <w:bCs/>
                <w:color w:val="auto"/>
                <w:sz w:val="22"/>
                <w:szCs w:val="22"/>
                <w:lang w:val="zh-CN"/>
              </w:rPr>
              <w:t>分；</w:t>
            </w:r>
          </w:p>
          <w:p w14:paraId="2410569B">
            <w:pPr>
              <w:widowControl/>
              <w:textAlignment w:val="center"/>
              <w:rPr>
                <w:rFonts w:hint="eastAsia" w:ascii="仿宋" w:hAnsi="仿宋" w:eastAsia="仿宋" w:cs="仿宋"/>
                <w:color w:val="auto"/>
                <w:sz w:val="24"/>
              </w:rPr>
            </w:pPr>
            <w:r>
              <w:rPr>
                <w:rFonts w:hint="eastAsia" w:ascii="仿宋" w:hAnsi="仿宋" w:eastAsia="仿宋" w:cs="宋体"/>
                <w:bCs/>
                <w:color w:val="auto"/>
                <w:sz w:val="22"/>
                <w:szCs w:val="22"/>
                <w:lang w:val="zh-CN"/>
              </w:rPr>
              <w:t>④未提供的不得分。</w:t>
            </w:r>
          </w:p>
        </w:tc>
      </w:tr>
      <w:tr w14:paraId="3FA3DC14">
        <w:tblPrEx>
          <w:tblCellMar>
            <w:top w:w="0" w:type="dxa"/>
            <w:left w:w="108" w:type="dxa"/>
            <w:bottom w:w="0" w:type="dxa"/>
            <w:right w:w="108" w:type="dxa"/>
          </w:tblCellMar>
        </w:tblPrEx>
        <w:trPr>
          <w:trHeight w:val="744"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E097A">
            <w:pPr>
              <w:jc w:val="center"/>
              <w:rPr>
                <w:rFonts w:hint="eastAsia" w:ascii="仿宋" w:hAnsi="仿宋" w:eastAsia="仿宋" w:cs="仿宋"/>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71EDA">
            <w:pPr>
              <w:jc w:val="center"/>
              <w:rPr>
                <w:rFonts w:hint="eastAsia" w:ascii="仿宋" w:hAnsi="仿宋" w:eastAsia="仿宋" w:cs="仿宋"/>
                <w:color w:val="000000"/>
                <w:sz w:val="22"/>
                <w:szCs w:val="22"/>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4CEF24A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w:t>
            </w:r>
          </w:p>
          <w:p w14:paraId="255E99D8">
            <w:pPr>
              <w:widowControl/>
              <w:jc w:val="center"/>
              <w:textAlignment w:val="center"/>
              <w:rPr>
                <w:rFonts w:hint="eastAsia" w:ascii="仿宋" w:hAnsi="仿宋" w:eastAsia="仿宋" w:cs="仿宋"/>
                <w:color w:val="000000"/>
                <w:sz w:val="22"/>
                <w:szCs w:val="22"/>
              </w:rPr>
            </w:pPr>
          </w:p>
          <w:p w14:paraId="79A75E58">
            <w:pPr>
              <w:widowControl/>
              <w:jc w:val="center"/>
              <w:textAlignment w:val="center"/>
              <w:rPr>
                <w:rFonts w:hint="eastAsia" w:ascii="仿宋" w:hAnsi="仿宋" w:eastAsia="仿宋" w:cs="仿宋"/>
                <w:color w:val="000000"/>
                <w:sz w:val="22"/>
                <w:szCs w:val="22"/>
              </w:rPr>
            </w:pPr>
          </w:p>
          <w:p w14:paraId="4559F18E">
            <w:pPr>
              <w:widowControl/>
              <w:jc w:val="center"/>
              <w:textAlignment w:val="center"/>
              <w:rPr>
                <w:rFonts w:hint="eastAsia" w:ascii="仿宋" w:hAnsi="仿宋" w:eastAsia="仿宋" w:cs="仿宋"/>
                <w:color w:val="000000"/>
                <w:sz w:val="22"/>
                <w:szCs w:val="22"/>
              </w:rPr>
            </w:pP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52BE03E0">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6、配送能力：提供仓储面积、运输车辆、药品各类等保证药品仓储、配送、供应能力的证明材料。</w:t>
            </w:r>
          </w:p>
          <w:p w14:paraId="2F6C1C2D">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（1）配送能力强且实施方案切实可行得5分；</w:t>
            </w:r>
          </w:p>
          <w:p w14:paraId="3787F3FC">
            <w:pPr>
              <w:pStyle w:val="4"/>
              <w:widowControl/>
              <w:ind w:firstLine="0" w:firstLineChars="0"/>
              <w:jc w:val="left"/>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highlight w:val="lightGray"/>
              </w:rPr>
              <w:t>（2）</w:t>
            </w:r>
            <w:r>
              <w:rPr>
                <w:rFonts w:hint="eastAsia" w:ascii="仿宋" w:hAnsi="仿宋" w:eastAsia="仿宋" w:cs="仿宋"/>
                <w:color w:val="000000"/>
                <w:sz w:val="22"/>
                <w:szCs w:val="22"/>
              </w:rPr>
              <w:t>配送能力一般且实施方案较合理得3分；</w:t>
            </w:r>
          </w:p>
          <w:p w14:paraId="344F6FAF">
            <w:pPr>
              <w:pStyle w:val="4"/>
              <w:widowControl/>
              <w:ind w:firstLine="0" w:firstLineChars="0"/>
              <w:jc w:val="left"/>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highlight w:val="lightGray"/>
              </w:rPr>
              <w:t>（3）</w:t>
            </w:r>
            <w:r>
              <w:rPr>
                <w:rFonts w:hint="eastAsia" w:ascii="仿宋" w:hAnsi="仿宋" w:eastAsia="仿宋" w:cs="仿宋"/>
                <w:color w:val="000000"/>
                <w:sz w:val="22"/>
                <w:szCs w:val="22"/>
              </w:rPr>
              <w:t>配送能力一般且实施方案欠针对性得1分。</w:t>
            </w:r>
          </w:p>
        </w:tc>
      </w:tr>
      <w:tr w14:paraId="0426B92F">
        <w:tblPrEx>
          <w:tblCellMar>
            <w:top w:w="0" w:type="dxa"/>
            <w:left w:w="108" w:type="dxa"/>
            <w:bottom w:w="0" w:type="dxa"/>
            <w:right w:w="108" w:type="dxa"/>
          </w:tblCellMar>
        </w:tblPrEx>
        <w:trPr>
          <w:trHeight w:val="1038"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039C1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保障服务能力</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CF065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30F0309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325B69B3">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、应急及安全防控预案：根据针对本项目的应急措施、安全风险方案内容的完整性、可实施性尤其是遇到突发事件及不良事件时如何处理等方面酌情评分：</w:t>
            </w:r>
          </w:p>
          <w:p w14:paraId="4D7B82D7">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（1）应急措施、方案完整，针对突发事件不良事件切实可行，得5分；</w:t>
            </w:r>
          </w:p>
          <w:p w14:paraId="2A5EC7B9">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（2）应急措施、方案一般，针对突发事件不良事件可行一般，得3分；</w:t>
            </w:r>
          </w:p>
          <w:p w14:paraId="211AB596">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（3）应急措施、方案一般，针对突发事件不良事件可行性欠缺，得1分。</w:t>
            </w:r>
          </w:p>
        </w:tc>
      </w:tr>
      <w:tr w14:paraId="25EAFF32">
        <w:tblPrEx>
          <w:tblCellMar>
            <w:top w:w="0" w:type="dxa"/>
            <w:left w:w="108" w:type="dxa"/>
            <w:bottom w:w="0" w:type="dxa"/>
            <w:right w:w="108" w:type="dxa"/>
          </w:tblCellMar>
        </w:tblPrEx>
        <w:trPr>
          <w:trHeight w:val="135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604BF">
            <w:pPr>
              <w:jc w:val="center"/>
              <w:rPr>
                <w:rFonts w:hint="eastAsia" w:ascii="仿宋" w:hAnsi="仿宋" w:eastAsia="仿宋" w:cs="仿宋"/>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9F22B">
            <w:pPr>
              <w:jc w:val="center"/>
              <w:rPr>
                <w:rFonts w:hint="eastAsia" w:ascii="仿宋" w:hAnsi="仿宋" w:eastAsia="仿宋" w:cs="仿宋"/>
                <w:color w:val="000000"/>
                <w:sz w:val="22"/>
                <w:szCs w:val="22"/>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7CC1E36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7C517FEB">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服务保障（满分3分）：请提供（1）南京市社会基本医疗保险门诊统筹购药资质；（2）特殊医学用途食品资质。</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（1）同时具备二项得3分；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（2）仅具备一项得1分。</w:t>
            </w:r>
          </w:p>
        </w:tc>
      </w:tr>
      <w:tr w14:paraId="64EA4939">
        <w:tblPrEx>
          <w:tblCellMar>
            <w:top w:w="0" w:type="dxa"/>
            <w:left w:w="108" w:type="dxa"/>
            <w:bottom w:w="0" w:type="dxa"/>
            <w:right w:w="108" w:type="dxa"/>
          </w:tblCellMar>
        </w:tblPrEx>
        <w:trPr>
          <w:trHeight w:val="270" w:hRule="atLeast"/>
          <w:jc w:val="center"/>
        </w:trPr>
        <w:tc>
          <w:tcPr>
            <w:tcW w:w="815" w:type="dxa"/>
            <w:tcBorders>
              <w:top w:val="single" w:color="000000" w:sz="4" w:space="0"/>
              <w:left w:val="single" w:color="000000" w:sz="4" w:space="0"/>
              <w:bottom w:val="single" w:color="000000" w:sz="4" w:space="0"/>
              <w:right w:val="single" w:color="000000" w:sz="4" w:space="0"/>
            </w:tcBorders>
            <w:noWrap w:val="0"/>
            <w:vAlign w:val="center"/>
          </w:tcPr>
          <w:p w14:paraId="24D693B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合计总分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6CB4E8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B5A6E1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7830" w:type="dxa"/>
            <w:tcBorders>
              <w:top w:val="single" w:color="000000" w:sz="4" w:space="0"/>
              <w:left w:val="single" w:color="000000" w:sz="4" w:space="0"/>
              <w:bottom w:val="single" w:color="000000" w:sz="4" w:space="0"/>
              <w:right w:val="single" w:color="000000" w:sz="4" w:space="0"/>
            </w:tcBorders>
            <w:noWrap w:val="0"/>
            <w:vAlign w:val="center"/>
          </w:tcPr>
          <w:p w14:paraId="43B81A12">
            <w:pPr>
              <w:rPr>
                <w:rFonts w:hint="eastAsia" w:ascii="仿宋" w:hAnsi="仿宋" w:eastAsia="仿宋" w:cs="仿宋"/>
                <w:color w:val="000000"/>
                <w:sz w:val="22"/>
                <w:szCs w:val="22"/>
              </w:rPr>
            </w:pPr>
          </w:p>
        </w:tc>
      </w:tr>
    </w:tbl>
    <w:p w14:paraId="6C1963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965B8"/>
    <w:multiLevelType w:val="singleLevel"/>
    <w:tmpl w:val="988965B8"/>
    <w:lvl w:ilvl="0" w:tentative="0">
      <w:start w:val="1"/>
      <w:numFmt w:val="decimal"/>
      <w:suff w:val="nothing"/>
      <w:lvlText w:val="%1、"/>
      <w:lvlJc w:val="left"/>
    </w:lvl>
  </w:abstractNum>
  <w:abstractNum w:abstractNumId="1">
    <w:nsid w:val="3D813E7E"/>
    <w:multiLevelType w:val="multilevel"/>
    <w:tmpl w:val="3D813E7E"/>
    <w:lvl w:ilvl="0" w:tentative="0">
      <w:start w:val="1"/>
      <w:numFmt w:val="decimal"/>
      <w:lvlText w:val="%1、"/>
      <w:lvlJc w:val="left"/>
      <w:pPr>
        <w:ind w:left="360" w:hanging="360"/>
      </w:pPr>
      <w:rPr>
        <w:rFonts w:hint="default"/>
        <w:sz w:val="2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F232B"/>
    <w:rsid w:val="5A8F232B"/>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2024-11-29T01:19:00Z</dcterms:created>
  <dc:creator>冯飞扬</dc:creator>
  <cp:lastModifiedBy>冯飞扬</cp:lastModifiedBy>
  <dcterms:modified xsi:type="dcterms:W3CDTF">2024-11-29T01:27:01Z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B75F690A8B1244C79C00D48D06FBC9E1_11</vt:lpwstr>
  </property>
</Properties>
</file>