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A678D">
      <w:pPr>
        <w:jc w:val="center"/>
        <w:rPr>
          <w:rFonts w:hint="eastAsia" w:ascii="仿宋" w:hAnsi="仿宋" w:eastAsia="仿宋"/>
          <w:sz w:val="28"/>
          <w:szCs w:val="28"/>
        </w:rPr>
      </w:pPr>
      <w:r>
        <w:rPr>
          <w:rFonts w:hint="eastAsia" w:ascii="宋体" w:hAnsi="宋体" w:cs="宋体"/>
          <w:color w:val="333333"/>
          <w:sz w:val="36"/>
          <w:szCs w:val="36"/>
          <w:shd w:val="clear" w:color="auto" w:fill="FBFDFE"/>
        </w:rPr>
        <w:t>南京市溧水区人民医院门诊三楼（原规培室）配镜中心</w:t>
      </w:r>
      <w:r>
        <w:rPr>
          <w:rFonts w:hint="eastAsia" w:ascii="宋体" w:hAnsi="宋体" w:cs="宋体"/>
          <w:color w:val="333333"/>
          <w:sz w:val="36"/>
          <w:szCs w:val="36"/>
          <w:shd w:val="clear" w:color="auto" w:fill="FBFDFE"/>
          <w:lang w:eastAsia="zh-CN"/>
        </w:rPr>
        <w:t>经营权转让</w:t>
      </w:r>
      <w:r>
        <w:rPr>
          <w:rFonts w:hint="eastAsia" w:ascii="宋体" w:hAnsi="宋体" w:cs="宋体"/>
          <w:color w:val="333333"/>
          <w:sz w:val="36"/>
          <w:szCs w:val="36"/>
          <w:shd w:val="clear" w:color="auto" w:fill="FBFDFE"/>
        </w:rPr>
        <w:t>方案</w:t>
      </w:r>
    </w:p>
    <w:p w14:paraId="6048A0C1">
      <w:pPr>
        <w:ind w:firstLine="560" w:firstLineChars="200"/>
        <w:rPr>
          <w:rFonts w:hint="eastAsia" w:ascii="仿宋_GB2312" w:hAnsi="仿宋_GB2312" w:eastAsia="仿宋_GB2312" w:cs="仿宋_GB2312"/>
          <w:color w:val="333333"/>
          <w:sz w:val="32"/>
          <w:szCs w:val="32"/>
          <w:shd w:val="clear" w:color="auto" w:fill="FBFDFE"/>
        </w:rPr>
      </w:pPr>
      <w:r>
        <w:rPr>
          <w:rFonts w:hint="eastAsia" w:ascii="仿宋" w:hAnsi="仿宋" w:eastAsia="仿宋"/>
          <w:sz w:val="28"/>
          <w:szCs w:val="28"/>
        </w:rPr>
        <w:t>南京</w:t>
      </w:r>
      <w:r>
        <w:rPr>
          <w:rFonts w:hint="eastAsia" w:ascii="仿宋_GB2312" w:hAnsi="仿宋_GB2312" w:eastAsia="仿宋_GB2312" w:cs="仿宋_GB2312"/>
          <w:color w:val="333333"/>
          <w:sz w:val="32"/>
          <w:szCs w:val="32"/>
          <w:shd w:val="clear" w:color="auto" w:fill="FBFDFE"/>
        </w:rPr>
        <w:t>市溧水区人民医院现有位于溧水区永阳街道崇文路86号门诊三楼（原规培室）配镜中心进行</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，本项目采用综合评审方式进行</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w:t>
      </w:r>
    </w:p>
    <w:p w14:paraId="318D46E8">
      <w:pPr>
        <w:pStyle w:val="4"/>
        <w:shd w:val="clear" w:color="auto" w:fill="FBFDFE"/>
        <w:spacing w:line="360" w:lineRule="auto"/>
        <w:ind w:firstLine="643" w:firstLineChars="200"/>
        <w:rPr>
          <w:rFonts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shd w:val="clear" w:color="auto" w:fill="FBFDFE"/>
        </w:rPr>
        <w:t>一、</w:t>
      </w:r>
      <w:r>
        <w:rPr>
          <w:rFonts w:hint="eastAsia" w:ascii="仿宋_GB2312" w:hAnsi="仿宋_GB2312" w:eastAsia="仿宋_GB2312" w:cs="仿宋_GB2312"/>
          <w:b/>
          <w:color w:val="333333"/>
          <w:sz w:val="32"/>
          <w:szCs w:val="32"/>
          <w:shd w:val="clear" w:color="auto" w:fill="FBFDFE"/>
          <w:lang w:eastAsia="zh-CN"/>
        </w:rPr>
        <w:t>经营权转让</w:t>
      </w:r>
      <w:r>
        <w:rPr>
          <w:rFonts w:hint="eastAsia" w:ascii="仿宋_GB2312" w:hAnsi="仿宋_GB2312" w:eastAsia="仿宋_GB2312" w:cs="仿宋_GB2312"/>
          <w:b/>
          <w:color w:val="333333"/>
          <w:sz w:val="32"/>
          <w:szCs w:val="32"/>
          <w:shd w:val="clear" w:color="auto" w:fill="FBFDFE"/>
        </w:rPr>
        <w:t>项目位置、面积及用</w:t>
      </w:r>
      <w:bookmarkStart w:id="0" w:name="_GoBack"/>
      <w:bookmarkEnd w:id="0"/>
      <w:r>
        <w:rPr>
          <w:rFonts w:hint="eastAsia" w:ascii="仿宋_GB2312" w:hAnsi="仿宋_GB2312" w:eastAsia="仿宋_GB2312" w:cs="仿宋_GB2312"/>
          <w:b/>
          <w:color w:val="333333"/>
          <w:sz w:val="32"/>
          <w:szCs w:val="32"/>
          <w:shd w:val="clear" w:color="auto" w:fill="FBFDFE"/>
        </w:rPr>
        <w:t>途：</w:t>
      </w:r>
    </w:p>
    <w:p w14:paraId="3C83DE26">
      <w:pPr>
        <w:pStyle w:val="4"/>
        <w:shd w:val="clear" w:color="auto" w:fill="FBFDFE"/>
        <w:spacing w:line="360" w:lineRule="auto"/>
        <w:ind w:firstLine="640" w:firstLineChars="200"/>
        <w:rPr>
          <w:rFonts w:hint="eastAsia" w:ascii="仿宋_GB2312" w:hAnsi="仿宋_GB2312" w:eastAsia="仿宋_GB2312" w:cs="仿宋_GB2312"/>
          <w:color w:val="333333"/>
          <w:kern w:val="2"/>
          <w:sz w:val="32"/>
          <w:szCs w:val="32"/>
          <w:shd w:val="clear" w:color="auto" w:fill="FBFDFE"/>
        </w:rPr>
      </w:pPr>
      <w:r>
        <w:rPr>
          <w:rFonts w:hint="eastAsia" w:ascii="仿宋_GB2312" w:hAnsi="仿宋_GB2312" w:eastAsia="仿宋_GB2312" w:cs="仿宋_GB2312"/>
          <w:color w:val="333333"/>
          <w:sz w:val="32"/>
          <w:szCs w:val="32"/>
          <w:shd w:val="clear" w:color="auto" w:fill="FBFDFE"/>
        </w:rPr>
        <w:t>1．</w:t>
      </w:r>
      <w:r>
        <w:rPr>
          <w:rFonts w:hint="eastAsia" w:ascii="仿宋_GB2312" w:hAnsi="仿宋_GB2312" w:eastAsia="仿宋_GB2312" w:cs="仿宋_GB2312"/>
          <w:color w:val="333333"/>
          <w:kern w:val="2"/>
          <w:sz w:val="32"/>
          <w:szCs w:val="32"/>
          <w:shd w:val="clear" w:color="auto" w:fill="FBFDFE"/>
        </w:rPr>
        <w:t>标的物所在位置：南京市溧水区人民医院位于南京市溧水区永阳街道崇文路86号。</w:t>
      </w:r>
    </w:p>
    <w:p w14:paraId="471C1BAD">
      <w:pPr>
        <w:pStyle w:val="4"/>
        <w:shd w:val="clear" w:color="auto" w:fill="FBFDFE"/>
        <w:spacing w:line="360" w:lineRule="auto"/>
        <w:ind w:firstLine="640" w:firstLineChars="200"/>
        <w:rPr>
          <w:rFonts w:hint="eastAsia" w:ascii="仿宋_GB2312" w:hAnsi="仿宋_GB2312" w:eastAsia="仿宋_GB2312" w:cs="仿宋_GB2312"/>
          <w:color w:val="333333"/>
          <w:kern w:val="2"/>
          <w:sz w:val="32"/>
          <w:szCs w:val="32"/>
          <w:shd w:val="clear" w:color="auto" w:fill="FBFDFE"/>
        </w:rPr>
      </w:pPr>
      <w:r>
        <w:rPr>
          <w:rFonts w:hint="eastAsia" w:ascii="仿宋_GB2312" w:hAnsi="仿宋_GB2312" w:eastAsia="仿宋_GB2312" w:cs="仿宋_GB2312"/>
          <w:color w:val="333333"/>
          <w:kern w:val="2"/>
          <w:sz w:val="32"/>
          <w:szCs w:val="32"/>
          <w:shd w:val="clear" w:color="auto" w:fill="FBFDFE"/>
        </w:rPr>
        <w:t>2．场地配置说明：</w:t>
      </w:r>
    </w:p>
    <w:p w14:paraId="6994383A">
      <w:pPr>
        <w:pStyle w:val="4"/>
        <w:shd w:val="clear" w:color="auto" w:fill="FBFDFE"/>
        <w:spacing w:line="360" w:lineRule="auto"/>
        <w:ind w:firstLine="640" w:firstLineChars="200"/>
        <w:rPr>
          <w:rFonts w:hint="eastAsia" w:ascii="仿宋_GB2312" w:hAnsi="仿宋_GB2312" w:eastAsia="仿宋_GB2312" w:cs="仿宋_GB2312"/>
          <w:color w:val="333333"/>
          <w:kern w:val="2"/>
          <w:sz w:val="32"/>
          <w:szCs w:val="32"/>
          <w:shd w:val="clear" w:color="auto" w:fill="FBFDFE"/>
        </w:rPr>
      </w:pPr>
      <w:r>
        <w:rPr>
          <w:rFonts w:hint="eastAsia" w:ascii="仿宋_GB2312" w:hAnsi="仿宋_GB2312" w:eastAsia="仿宋_GB2312" w:cs="仿宋_GB2312"/>
          <w:color w:val="333333"/>
          <w:kern w:val="2"/>
          <w:sz w:val="32"/>
          <w:szCs w:val="32"/>
          <w:shd w:val="clear" w:color="auto" w:fill="FBFDFE"/>
        </w:rPr>
        <w:t>配镜中心位于南京市溧水区人民医院门诊三楼，面积190㎡，简装。</w:t>
      </w:r>
    </w:p>
    <w:p w14:paraId="497278EC">
      <w:pPr>
        <w:pStyle w:val="4"/>
        <w:numPr>
          <w:ilvl w:val="0"/>
          <w:numId w:val="1"/>
        </w:numPr>
        <w:shd w:val="clear" w:color="auto" w:fill="FBFDFE"/>
        <w:tabs>
          <w:tab w:val="left" w:pos="567"/>
        </w:tabs>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使用用</w:t>
      </w:r>
      <w:r>
        <w:rPr>
          <w:rFonts w:hint="eastAsia" w:ascii="仿宋_GB2312" w:hAnsi="仿宋_GB2312" w:eastAsia="仿宋_GB2312" w:cs="仿宋_GB2312"/>
          <w:color w:val="333333"/>
          <w:kern w:val="2"/>
          <w:sz w:val="32"/>
          <w:szCs w:val="32"/>
          <w:shd w:val="clear" w:color="auto" w:fill="FBFDFE"/>
        </w:rPr>
        <w:t>途：配镜中心。</w:t>
      </w:r>
    </w:p>
    <w:p w14:paraId="61A92F1A">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二、</w:t>
      </w:r>
      <w:r>
        <w:rPr>
          <w:rFonts w:hint="eastAsia" w:ascii="仿宋_GB2312" w:hAnsi="仿宋_GB2312" w:eastAsia="仿宋_GB2312" w:cs="仿宋_GB2312"/>
          <w:b/>
          <w:color w:val="333333"/>
          <w:sz w:val="32"/>
          <w:szCs w:val="32"/>
          <w:shd w:val="clear" w:color="auto" w:fill="FBFDFE"/>
          <w:lang w:eastAsia="zh-CN"/>
        </w:rPr>
        <w:t>经营权转让</w:t>
      </w:r>
      <w:r>
        <w:rPr>
          <w:rFonts w:hint="eastAsia" w:ascii="仿宋_GB2312" w:hAnsi="仿宋_GB2312" w:eastAsia="仿宋_GB2312" w:cs="仿宋_GB2312"/>
          <w:b/>
          <w:color w:val="333333"/>
          <w:sz w:val="32"/>
          <w:szCs w:val="32"/>
          <w:shd w:val="clear" w:color="auto" w:fill="FBFDFE"/>
        </w:rPr>
        <w:t>期限：</w:t>
      </w:r>
    </w:p>
    <w:p w14:paraId="14F4E0E2">
      <w:pPr>
        <w:pStyle w:val="2"/>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期：3年，合同一签三年。</w:t>
      </w:r>
    </w:p>
    <w:p w14:paraId="0DACCA85">
      <w:pPr>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金支付方式：先付费后使用，在被确人为受让方后五个工作日内签署转让合同以及一次性支付当年</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w:t>
      </w:r>
      <w:r>
        <w:rPr>
          <w:rFonts w:hint="eastAsia" w:ascii="仿宋_GB2312" w:hAnsi="仿宋_GB2312" w:eastAsia="仿宋_GB2312" w:cs="仿宋_GB2312"/>
          <w:color w:val="333333"/>
          <w:sz w:val="32"/>
          <w:szCs w:val="32"/>
          <w:shd w:val="clear" w:color="auto" w:fill="FBFDFE"/>
          <w:lang w:eastAsia="zh-CN"/>
        </w:rPr>
        <w:t>履约保证</w:t>
      </w:r>
      <w:r>
        <w:rPr>
          <w:rFonts w:hint="eastAsia" w:ascii="仿宋_GB2312" w:hAnsi="仿宋_GB2312" w:eastAsia="仿宋_GB2312" w:cs="仿宋_GB2312"/>
          <w:color w:val="333333"/>
          <w:sz w:val="32"/>
          <w:szCs w:val="32"/>
          <w:shd w:val="clear" w:color="auto" w:fill="FBFDFE"/>
        </w:rPr>
        <w:t>金以及其他所需费用。此后每年的</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金应分别于每年的11月1日前一次性付清，先付后</w:t>
      </w:r>
      <w:r>
        <w:rPr>
          <w:rFonts w:hint="eastAsia" w:ascii="仿宋_GB2312" w:hAnsi="仿宋_GB2312" w:eastAsia="仿宋_GB2312" w:cs="仿宋_GB2312"/>
          <w:color w:val="333333"/>
          <w:sz w:val="32"/>
          <w:szCs w:val="32"/>
          <w:shd w:val="clear" w:color="auto" w:fill="FBFDFE"/>
          <w:lang w:eastAsia="zh-CN"/>
        </w:rPr>
        <w:t>用</w:t>
      </w:r>
      <w:r>
        <w:rPr>
          <w:rFonts w:hint="eastAsia" w:ascii="仿宋_GB2312" w:hAnsi="仿宋_GB2312" w:eastAsia="仿宋_GB2312" w:cs="仿宋_GB2312"/>
          <w:color w:val="333333"/>
          <w:sz w:val="32"/>
          <w:szCs w:val="32"/>
          <w:shd w:val="clear" w:color="auto" w:fill="FBFDFE"/>
        </w:rPr>
        <w:t>。</w:t>
      </w:r>
    </w:p>
    <w:p w14:paraId="0682CE66">
      <w:pPr>
        <w:pStyle w:val="2"/>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3．门诊三楼（原规培室）配镜中心</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w:t>
      </w:r>
      <w:r>
        <w:rPr>
          <w:rFonts w:hint="eastAsia" w:ascii="仿宋_GB2312" w:hAnsi="仿宋_GB2312" w:eastAsia="仿宋_GB2312" w:cs="仿宋_GB2312"/>
          <w:color w:val="333333"/>
          <w:sz w:val="32"/>
          <w:szCs w:val="32"/>
          <w:shd w:val="clear" w:color="auto" w:fill="FBFDFE"/>
          <w:lang w:eastAsia="zh-CN"/>
        </w:rPr>
        <w:t>底价</w:t>
      </w:r>
      <w:r>
        <w:rPr>
          <w:rFonts w:hint="eastAsia" w:ascii="仿宋_GB2312" w:hAnsi="仿宋_GB2312" w:eastAsia="仿宋_GB2312" w:cs="仿宋_GB2312"/>
          <w:color w:val="333333"/>
          <w:sz w:val="32"/>
          <w:szCs w:val="32"/>
          <w:shd w:val="clear" w:color="auto" w:fill="FBFDFE"/>
        </w:rPr>
        <w:t>：</w:t>
      </w:r>
      <w:r>
        <w:rPr>
          <w:rFonts w:ascii="仿宋_GB2312" w:hAnsi="仿宋_GB2312" w:eastAsia="仿宋_GB2312" w:cs="仿宋_GB2312"/>
          <w:color w:val="333333"/>
          <w:sz w:val="32"/>
          <w:szCs w:val="32"/>
          <w:shd w:val="clear" w:color="auto" w:fill="FBFDFE"/>
        </w:rPr>
        <w:t>27.5</w:t>
      </w:r>
      <w:r>
        <w:rPr>
          <w:rFonts w:hint="eastAsia" w:ascii="仿宋_GB2312" w:hAnsi="仿宋_GB2312" w:eastAsia="仿宋_GB2312" w:cs="仿宋_GB2312"/>
          <w:color w:val="333333"/>
          <w:sz w:val="32"/>
          <w:szCs w:val="32"/>
          <w:shd w:val="clear" w:color="auto" w:fill="FBFDFE"/>
        </w:rPr>
        <w:t>万元/年。</w:t>
      </w:r>
    </w:p>
    <w:p w14:paraId="0F2880A7">
      <w:pPr>
        <w:pStyle w:val="2"/>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4．履约保证金：9万元，在合同期满且无违约的情况下无息退还。</w:t>
      </w:r>
    </w:p>
    <w:p w14:paraId="4B83C20E">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三、报名</w:t>
      </w:r>
      <w:r>
        <w:rPr>
          <w:rFonts w:hint="eastAsia" w:ascii="仿宋_GB2312" w:hAnsi="仿宋_GB2312" w:eastAsia="仿宋_GB2312" w:cs="仿宋_GB2312"/>
          <w:b/>
          <w:color w:val="333333"/>
          <w:sz w:val="32"/>
          <w:szCs w:val="32"/>
          <w:shd w:val="clear" w:color="auto" w:fill="FBFDFE"/>
          <w:lang w:eastAsia="zh-CN"/>
        </w:rPr>
        <w:t>信誉</w:t>
      </w:r>
      <w:r>
        <w:rPr>
          <w:rFonts w:hint="eastAsia" w:ascii="仿宋_GB2312" w:hAnsi="仿宋_GB2312" w:eastAsia="仿宋_GB2312" w:cs="仿宋_GB2312"/>
          <w:b/>
          <w:color w:val="333333"/>
          <w:sz w:val="32"/>
          <w:szCs w:val="32"/>
          <w:shd w:val="clear" w:color="auto" w:fill="FBFDFE"/>
        </w:rPr>
        <w:t>保证金：</w:t>
      </w:r>
    </w:p>
    <w:p w14:paraId="31AD93BE">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1．报名</w:t>
      </w:r>
      <w:r>
        <w:rPr>
          <w:rFonts w:hint="eastAsia" w:ascii="仿宋_GB2312" w:hAnsi="仿宋_GB2312" w:eastAsia="仿宋_GB2312" w:cs="仿宋_GB2312"/>
          <w:color w:val="333333"/>
          <w:sz w:val="32"/>
          <w:szCs w:val="32"/>
          <w:shd w:val="clear" w:color="auto" w:fill="FBFDFE"/>
          <w:lang w:eastAsia="zh-CN"/>
        </w:rPr>
        <w:t>信誉</w:t>
      </w:r>
      <w:r>
        <w:rPr>
          <w:rFonts w:hint="eastAsia" w:ascii="仿宋_GB2312" w:hAnsi="仿宋_GB2312" w:eastAsia="仿宋_GB2312" w:cs="仿宋_GB2312"/>
          <w:color w:val="333333"/>
          <w:sz w:val="32"/>
          <w:szCs w:val="32"/>
          <w:shd w:val="clear" w:color="auto" w:fill="FBFDFE"/>
        </w:rPr>
        <w:t>保证金数额：意向受让方需缴纳报名信誉保证金9万元。</w:t>
      </w:r>
    </w:p>
    <w:p w14:paraId="388509C7">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2．缴纳截止日期：经南京溧水区国有资产资源交易中心审查通过后，在挂牌截止日期次日上午十一点前交至指定账户（以到达账户时间为准，遇法定节假日顺延）逾期将不得参与</w:t>
      </w:r>
      <w:r>
        <w:rPr>
          <w:rFonts w:hint="eastAsia" w:ascii="仿宋_GB2312" w:hAnsi="仿宋_GB2312" w:eastAsia="仿宋_GB2312" w:cs="仿宋_GB2312"/>
          <w:color w:val="333333"/>
          <w:sz w:val="32"/>
          <w:szCs w:val="32"/>
          <w:shd w:val="clear" w:color="auto" w:fill="FBFDFE"/>
          <w:lang w:eastAsia="zh-CN"/>
        </w:rPr>
        <w:t>受让</w:t>
      </w:r>
      <w:r>
        <w:rPr>
          <w:rFonts w:hint="eastAsia" w:ascii="仿宋_GB2312" w:hAnsi="仿宋_GB2312" w:eastAsia="仿宋_GB2312" w:cs="仿宋_GB2312"/>
          <w:color w:val="333333"/>
          <w:sz w:val="32"/>
          <w:szCs w:val="32"/>
          <w:shd w:val="clear" w:color="auto" w:fill="FBFDFE"/>
        </w:rPr>
        <w:t>。</w:t>
      </w:r>
    </w:p>
    <w:p w14:paraId="3E00D171">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3．报名</w:t>
      </w:r>
      <w:r>
        <w:rPr>
          <w:rFonts w:hint="eastAsia" w:ascii="仿宋_GB2312" w:hAnsi="仿宋_GB2312" w:eastAsia="仿宋_GB2312" w:cs="仿宋_GB2312"/>
          <w:color w:val="333333"/>
          <w:sz w:val="32"/>
          <w:szCs w:val="32"/>
          <w:shd w:val="clear" w:color="auto" w:fill="FBFDFE"/>
          <w:lang w:eastAsia="zh-CN"/>
        </w:rPr>
        <w:t>信誉</w:t>
      </w:r>
      <w:r>
        <w:rPr>
          <w:rFonts w:hint="eastAsia" w:ascii="仿宋_GB2312" w:hAnsi="仿宋_GB2312" w:eastAsia="仿宋_GB2312" w:cs="仿宋_GB2312"/>
          <w:color w:val="333333"/>
          <w:sz w:val="32"/>
          <w:szCs w:val="32"/>
          <w:shd w:val="clear" w:color="auto" w:fill="FBFDFE"/>
        </w:rPr>
        <w:t>保证金的处置：</w:t>
      </w:r>
    </w:p>
    <w:p w14:paraId="39D4FB98">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(1)意向受让方如被确定为受让方，在签约时经招租单位确认后，其缴纳的信誉保证金本金转为履约保证金；</w:t>
      </w:r>
    </w:p>
    <w:p w14:paraId="7514895F">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(2)意向受让方如未被确定为受让方，自受让方确定后，按南京市溧水区国有资产资源交易中心的相关规定退还其缴纳的信誉保证金本金（不计利息）；</w:t>
      </w:r>
    </w:p>
    <w:p w14:paraId="427A41A0">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 xml:space="preserve">(3)退还保证金时，意向受让方为自然人的，需本人携带身份证、财务收据前往国有资产资源交易中心办理退款手续；为法人或其他组织的，需提供单位证明、经办人身份证、财务收据前往国有资产资源交易中心办理退款手续。                                                                                          </w:t>
      </w:r>
    </w:p>
    <w:p w14:paraId="42A34119">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(4)意向受让方或受让方有如下行为的，其缴纳的</w:t>
      </w:r>
      <w:r>
        <w:rPr>
          <w:rFonts w:hint="eastAsia" w:ascii="仿宋_GB2312" w:hAnsi="仿宋_GB2312" w:eastAsia="仿宋_GB2312" w:cs="仿宋_GB2312"/>
          <w:color w:val="333333"/>
          <w:sz w:val="32"/>
          <w:szCs w:val="32"/>
          <w:shd w:val="clear" w:color="auto" w:fill="FBFDFE"/>
          <w:lang w:eastAsia="zh-CN"/>
        </w:rPr>
        <w:t>信誉</w:t>
      </w:r>
      <w:r>
        <w:rPr>
          <w:rFonts w:hint="eastAsia" w:ascii="仿宋_GB2312" w:hAnsi="仿宋_GB2312" w:eastAsia="仿宋_GB2312" w:cs="仿宋_GB2312"/>
          <w:color w:val="333333"/>
          <w:sz w:val="32"/>
          <w:szCs w:val="32"/>
          <w:shd w:val="clear" w:color="auto" w:fill="FBFDFE"/>
        </w:rPr>
        <w:t xml:space="preserve">保证金不予退还，由此造成出让方损失的，该意向受让方或受让方须承担赔偿责任；保证金不足以赔偿出让方损失的，不足的部分，该意向受让方或受让方须另行赔偿：         </w:t>
      </w:r>
    </w:p>
    <w:p w14:paraId="201AB4C2">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a、协议出租的,被确认为受让方之日起5个工作日内未签署《资产交易合同》的；</w:t>
      </w:r>
    </w:p>
    <w:p w14:paraId="62F7799B">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b、在被确认为受让方后，拒绝与出让方签署《资产交易合同》或未在规定时间内签署《资产交易合同》的；</w:t>
      </w:r>
    </w:p>
    <w:p w14:paraId="316D28CB">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c、在被确认为受让方后，未在规定时间（</w:t>
      </w:r>
      <w:r>
        <w:rPr>
          <w:rFonts w:hint="eastAsia" w:ascii="仿宋_GB2312" w:hAnsi="仿宋_GB2312" w:eastAsia="仿宋_GB2312" w:cs="仿宋_GB2312"/>
          <w:color w:val="333333"/>
          <w:sz w:val="32"/>
          <w:szCs w:val="32"/>
          <w:shd w:val="clear" w:color="auto" w:fill="FBFDFE"/>
          <w:lang w:val="en-US" w:eastAsia="zh-CN"/>
        </w:rPr>
        <w:t>5</w:t>
      </w:r>
      <w:r>
        <w:rPr>
          <w:rFonts w:hint="eastAsia" w:ascii="仿宋_GB2312" w:hAnsi="仿宋_GB2312" w:eastAsia="仿宋_GB2312" w:cs="仿宋_GB2312"/>
          <w:color w:val="333333"/>
          <w:sz w:val="32"/>
          <w:szCs w:val="32"/>
          <w:shd w:val="clear" w:color="auto" w:fill="FBFDFE"/>
        </w:rPr>
        <w:t>个工作日）内向出让方付清履约保证金（</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押金）和租金的；</w:t>
      </w:r>
    </w:p>
    <w:p w14:paraId="1D17B9D4">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d、未按《资产交易合同》履约的；</w:t>
      </w:r>
    </w:p>
    <w:p w14:paraId="1228622D">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e、提供虚假资料的；</w:t>
      </w:r>
    </w:p>
    <w:p w14:paraId="39F47244">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f、扰乱交易场所秩序；</w:t>
      </w:r>
    </w:p>
    <w:p w14:paraId="48C08BA6">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g、相互串通，损害国家、集体或他人的合法权益的；</w:t>
      </w:r>
    </w:p>
    <w:p w14:paraId="78B5E4DC">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h、法律、法规规定的其他情形；</w:t>
      </w:r>
    </w:p>
    <w:p w14:paraId="79DEA2D6">
      <w:pPr>
        <w:pStyle w:val="3"/>
        <w:widowControl/>
        <w:spacing w:before="156" w:beforeLines="50" w:after="156" w:afterLines="50" w:line="440" w:lineRule="exact"/>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四、其它条件：</w:t>
      </w:r>
    </w:p>
    <w:p w14:paraId="5422D4F4">
      <w:pPr>
        <w:pStyle w:val="3"/>
        <w:widowControl/>
        <w:spacing w:before="156" w:beforeLines="50" w:after="156" w:afterLines="50" w:line="440" w:lineRule="exact"/>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（一）受让方开展项目</w:t>
      </w:r>
    </w:p>
    <w:p w14:paraId="2B7DAF76">
      <w:pPr>
        <w:pStyle w:val="3"/>
        <w:widowControl/>
        <w:spacing w:before="156" w:beforeLines="50" w:after="156" w:afterLines="50" w:line="440" w:lineRule="exact"/>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1.提供框架眼镜的验配、加工工作。配备配镜、加工所需的相关设备，并保证设备正常有效运行。</w:t>
      </w:r>
    </w:p>
    <w:p w14:paraId="03F36824">
      <w:pPr>
        <w:pStyle w:val="3"/>
        <w:widowControl/>
        <w:spacing w:before="156" w:beforeLines="50" w:after="156" w:afterLines="50" w:line="440" w:lineRule="exact"/>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2.提供角膜塑形镜</w:t>
      </w:r>
      <w:r>
        <w:rPr>
          <w:rFonts w:hint="eastAsia" w:ascii="仿宋_GB2312" w:hAnsi="仿宋_GB2312" w:eastAsia="仿宋_GB2312" w:cs="仿宋_GB2312"/>
          <w:color w:val="333333"/>
          <w:kern w:val="0"/>
          <w:sz w:val="32"/>
          <w:szCs w:val="32"/>
          <w:shd w:val="clear" w:color="auto" w:fill="FBFDFE"/>
          <w:lang w:val="en-US" w:eastAsia="zh-CN"/>
        </w:rPr>
        <w:t>（平时接受医院相关职能科室的监督检查及整改，如不配合，会作出相应处罚）</w:t>
      </w:r>
      <w:r>
        <w:rPr>
          <w:rFonts w:hint="eastAsia" w:ascii="仿宋_GB2312" w:hAnsi="仿宋_GB2312" w:eastAsia="仿宋_GB2312" w:cs="仿宋_GB2312"/>
          <w:color w:val="333333"/>
          <w:kern w:val="0"/>
          <w:sz w:val="32"/>
          <w:szCs w:val="32"/>
          <w:shd w:val="clear" w:color="auto" w:fill="FBFDFE"/>
        </w:rPr>
        <w:t>及近视离焦镜的验配工作。</w:t>
      </w:r>
    </w:p>
    <w:p w14:paraId="4128F02D">
      <w:pPr>
        <w:pStyle w:val="3"/>
        <w:widowControl/>
        <w:spacing w:before="156" w:beforeLines="50" w:after="156" w:afterLines="50" w:line="440" w:lineRule="exact"/>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3.开展相关近视、弱视，视功能异常等治疗训练项目。</w:t>
      </w:r>
    </w:p>
    <w:p w14:paraId="7CB025B6">
      <w:pPr>
        <w:pStyle w:val="3"/>
        <w:widowControl/>
        <w:spacing w:before="156" w:beforeLines="50" w:after="156" w:afterLines="50" w:line="440" w:lineRule="exact"/>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4.以上项目产品质量合格，品牌保证，训练科学规范，如有违反规定，按照双倍服务价格罚款。</w:t>
      </w:r>
    </w:p>
    <w:p w14:paraId="6E235043">
      <w:pPr>
        <w:pStyle w:val="3"/>
        <w:widowControl/>
        <w:spacing w:before="156" w:beforeLines="50" w:after="156" w:afterLines="50" w:line="440" w:lineRule="exact"/>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（二）学术指导</w:t>
      </w:r>
    </w:p>
    <w:p w14:paraId="41ABF86A">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由受让方协助院方邀请省级（含）以上知名专家来院坐诊及手术，带教指导科室专业技术，每月一次专家出诊指导，所请专家，需提前报医院备案，由此产生的交通费、餐饮住宿费、劳务费用等，由受让方承担，专家每缺失一次，罚款5000元。（主要方向：小儿斜弱视的治疗，小儿近视防控。）</w:t>
      </w:r>
    </w:p>
    <w:p w14:paraId="433D2B62">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2.协助院方学术推动，进行相关学术或者公益讲座，每年2次公益活动，缺失一次，罚款10000元。</w:t>
      </w:r>
    </w:p>
    <w:p w14:paraId="766960AF">
      <w:pPr>
        <w:pStyle w:val="3"/>
        <w:widowControl/>
        <w:spacing w:before="156" w:beforeLines="50" w:after="156" w:afterLines="50" w:line="440" w:lineRule="exact"/>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（三）近视防控</w:t>
      </w:r>
    </w:p>
    <w:p w14:paraId="0CDFA879">
      <w:pPr>
        <w:pStyle w:val="3"/>
        <w:widowControl/>
        <w:spacing w:before="156" w:beforeLines="50" w:after="156" w:afterLines="50" w:line="440" w:lineRule="exact"/>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协助院方定期到幼儿园、中小学或社区进行视力筛查，科普宣教，建立屈光档案等，每年2次筛查，缺失一次，罚款10000元。</w:t>
      </w:r>
    </w:p>
    <w:p w14:paraId="4F7CAD23">
      <w:pPr>
        <w:pStyle w:val="3"/>
        <w:widowControl/>
        <w:spacing w:before="156" w:beforeLines="50" w:after="156" w:afterLines="50" w:line="440" w:lineRule="exact"/>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（四）工作人员</w:t>
      </w:r>
    </w:p>
    <w:p w14:paraId="0CC3C122">
      <w:pPr>
        <w:pStyle w:val="3"/>
        <w:widowControl/>
        <w:spacing w:before="156" w:beforeLines="50" w:after="156" w:afterLines="50" w:line="440" w:lineRule="exact"/>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 xml:space="preserve"> 受让方应配备视光专业视光师2名，具备资质的角膜塑形镜验配师1名，协助科室兼职特检工作，服从眼科调配，如有违规，罚款20000元。</w:t>
      </w:r>
    </w:p>
    <w:p w14:paraId="5CAB4067">
      <w:pPr>
        <w:pStyle w:val="3"/>
        <w:widowControl/>
        <w:spacing w:before="156" w:beforeLines="50" w:after="156" w:afterLines="50" w:line="440" w:lineRule="exact"/>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（五）仪器设备</w:t>
      </w:r>
    </w:p>
    <w:p w14:paraId="415DB2A1">
      <w:pPr>
        <w:spacing w:line="440" w:lineRule="exact"/>
        <w:rPr>
          <w:rFonts w:hint="eastAsia" w:ascii="仿宋" w:hAnsi="仿宋" w:eastAsia="仿宋" w:cs="宋体"/>
          <w:sz w:val="28"/>
          <w:szCs w:val="28"/>
        </w:rPr>
      </w:pPr>
      <w:r>
        <w:rPr>
          <w:rFonts w:hint="eastAsia" w:ascii="仿宋" w:hAnsi="仿宋" w:eastAsia="仿宋" w:cs="宋体"/>
          <w:b/>
          <w:bCs/>
          <w:sz w:val="28"/>
          <w:szCs w:val="28"/>
        </w:rPr>
        <w:t xml:space="preserve">     </w:t>
      </w:r>
      <w:r>
        <w:rPr>
          <w:rFonts w:hint="eastAsia" w:ascii="仿宋_GB2312" w:hAnsi="仿宋_GB2312" w:eastAsia="仿宋_GB2312" w:cs="仿宋_GB2312"/>
          <w:color w:val="333333"/>
          <w:kern w:val="0"/>
          <w:sz w:val="32"/>
          <w:szCs w:val="32"/>
          <w:shd w:val="clear" w:color="auto" w:fill="FBFDFE"/>
        </w:rPr>
        <w:t>受让方在院方设备配备不足的情况下，需受让方提供以下设备，至少应包括：全自动电脑验光曲率仪，角膜地形图仪，眼科生物测量仪，塑形镜验配箱，RGP验配箱，近视理疗仪，弱视治疗仪，同视机，三棱镜，验光镜片箱，瞳距仪，电脑焦度计，近视弱视训练仪，综合验光仪（综合台、投影仪、牛眼），视功能训练仪，多维视觉训练系统，智能翻转镜等。所使用的仪器设备符合国家质量安全要求。医院提供的设备，需妥善使用保管，如有损坏，由受让方负责维修，受让方自带设备，由受让方负责维护保养。</w:t>
      </w:r>
    </w:p>
    <w:p w14:paraId="2B4C94EE">
      <w:pPr>
        <w:pStyle w:val="4"/>
        <w:numPr>
          <w:ilvl w:val="0"/>
          <w:numId w:val="2"/>
        </w:numPr>
        <w:shd w:val="clear" w:color="auto" w:fill="FBFDFE"/>
        <w:spacing w:line="360" w:lineRule="auto"/>
        <w:ind w:firstLine="643" w:firstLineChars="200"/>
        <w:rPr>
          <w:rFonts w:hint="eastAsia"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对受让方的要求：</w:t>
      </w:r>
    </w:p>
    <w:p w14:paraId="702E2664">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受让方确定：由院方通过对受让方对本项目的响应内容（重点就促进扶持学科发展等方面）及</w:t>
      </w:r>
      <w:r>
        <w:rPr>
          <w:rFonts w:hint="eastAsia" w:ascii="仿宋_GB2312" w:hAnsi="仿宋_GB2312" w:eastAsia="仿宋_GB2312" w:cs="仿宋_GB2312"/>
          <w:color w:val="333333"/>
          <w:kern w:val="0"/>
          <w:sz w:val="32"/>
          <w:szCs w:val="32"/>
          <w:shd w:val="clear" w:color="auto" w:fill="FBFDFE"/>
          <w:lang w:eastAsia="zh-CN"/>
        </w:rPr>
        <w:t>经营权转让</w:t>
      </w:r>
      <w:r>
        <w:rPr>
          <w:rFonts w:hint="eastAsia" w:ascii="仿宋_GB2312" w:hAnsi="仿宋_GB2312" w:eastAsia="仿宋_GB2312" w:cs="仿宋_GB2312"/>
          <w:color w:val="333333"/>
          <w:kern w:val="0"/>
          <w:sz w:val="32"/>
          <w:szCs w:val="32"/>
          <w:shd w:val="clear" w:color="auto" w:fill="FBFDFE"/>
        </w:rPr>
        <w:t>金作综合评价，</w:t>
      </w:r>
      <w:r>
        <w:rPr>
          <w:rFonts w:hint="eastAsia" w:ascii="仿宋_GB2312" w:hAnsi="仿宋_GB2312" w:eastAsia="仿宋_GB2312" w:cs="仿宋_GB2312"/>
          <w:color w:val="333333"/>
          <w:kern w:val="0"/>
          <w:sz w:val="32"/>
          <w:szCs w:val="32"/>
          <w:shd w:val="clear" w:color="auto" w:fill="FBFDFE"/>
          <w:lang w:eastAsia="zh-CN"/>
        </w:rPr>
        <w:t>得分最高者确认为受让方</w:t>
      </w:r>
      <w:r>
        <w:rPr>
          <w:rFonts w:hint="eastAsia" w:ascii="仿宋_GB2312" w:hAnsi="仿宋_GB2312" w:eastAsia="仿宋_GB2312" w:cs="仿宋_GB2312"/>
          <w:color w:val="333333"/>
          <w:kern w:val="0"/>
          <w:sz w:val="32"/>
          <w:szCs w:val="32"/>
          <w:shd w:val="clear" w:color="auto" w:fill="FBFDFE"/>
        </w:rPr>
        <w:t xml:space="preserve">。 </w:t>
      </w:r>
    </w:p>
    <w:p w14:paraId="18CBDD52">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医院</w:t>
      </w:r>
      <w:r>
        <w:rPr>
          <w:rFonts w:hint="eastAsia" w:ascii="仿宋_GB2312" w:hAnsi="仿宋_GB2312" w:eastAsia="仿宋_GB2312" w:cs="仿宋_GB2312"/>
          <w:color w:val="333333"/>
          <w:kern w:val="0"/>
          <w:sz w:val="32"/>
          <w:szCs w:val="32"/>
          <w:shd w:val="clear" w:color="auto" w:fill="FBFDFE"/>
          <w:lang w:eastAsia="zh-CN"/>
        </w:rPr>
        <w:t>配镜</w:t>
      </w:r>
      <w:r>
        <w:rPr>
          <w:rFonts w:hint="eastAsia" w:ascii="仿宋_GB2312" w:hAnsi="仿宋_GB2312" w:eastAsia="仿宋_GB2312" w:cs="仿宋_GB2312"/>
          <w:color w:val="333333"/>
          <w:kern w:val="0"/>
          <w:sz w:val="32"/>
          <w:szCs w:val="32"/>
          <w:shd w:val="clear" w:color="auto" w:fill="FBFDFE"/>
        </w:rPr>
        <w:t>中心受让方经营所产生的电费，水费等</w:t>
      </w:r>
      <w:r>
        <w:rPr>
          <w:rFonts w:hint="eastAsia" w:ascii="仿宋_GB2312" w:hAnsi="仿宋_GB2312" w:eastAsia="仿宋_GB2312" w:cs="仿宋_GB2312"/>
          <w:color w:val="333333"/>
          <w:kern w:val="0"/>
          <w:sz w:val="32"/>
          <w:szCs w:val="32"/>
          <w:shd w:val="clear" w:color="auto" w:fill="FBFDFE"/>
          <w:lang w:eastAsia="zh-CN"/>
        </w:rPr>
        <w:t>由</w:t>
      </w:r>
      <w:r>
        <w:rPr>
          <w:rFonts w:hint="eastAsia" w:ascii="仿宋_GB2312" w:hAnsi="仿宋_GB2312" w:eastAsia="仿宋_GB2312" w:cs="仿宋_GB2312"/>
          <w:color w:val="333333"/>
          <w:kern w:val="0"/>
          <w:sz w:val="32"/>
          <w:szCs w:val="32"/>
          <w:shd w:val="clear" w:color="auto" w:fill="FBFDFE"/>
        </w:rPr>
        <w:t>受让方承担。</w:t>
      </w:r>
    </w:p>
    <w:p w14:paraId="1DE5E13C">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受让方提供产品必须是符合国家标准的合格产品，做到产品质量过关、价格优廉、患者满意，商品价格标签执行一品一签，张贴在商品对应位置。</w:t>
      </w:r>
    </w:p>
    <w:p w14:paraId="279F6C22">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征得院方同意后，受让方可对</w:t>
      </w:r>
      <w:r>
        <w:rPr>
          <w:rFonts w:hint="eastAsia" w:ascii="仿宋_GB2312" w:hAnsi="仿宋_GB2312" w:eastAsia="仿宋_GB2312" w:cs="仿宋_GB2312"/>
          <w:color w:val="333333"/>
          <w:kern w:val="0"/>
          <w:sz w:val="32"/>
          <w:szCs w:val="32"/>
          <w:shd w:val="clear" w:color="auto" w:fill="FBFDFE"/>
          <w:lang w:eastAsia="zh-CN"/>
        </w:rPr>
        <w:t>配镜</w:t>
      </w:r>
      <w:r>
        <w:rPr>
          <w:rFonts w:hint="eastAsia" w:ascii="仿宋_GB2312" w:hAnsi="仿宋_GB2312" w:eastAsia="仿宋_GB2312" w:cs="仿宋_GB2312"/>
          <w:color w:val="333333"/>
          <w:kern w:val="0"/>
          <w:sz w:val="32"/>
          <w:szCs w:val="32"/>
          <w:shd w:val="clear" w:color="auto" w:fill="FBFDFE"/>
        </w:rPr>
        <w:t>中心进行装修并承担费用。装修前应将装修方案报院方同意（备案），不得改变房屋主体结构。合同结束，受让方</w:t>
      </w:r>
      <w:r>
        <w:rPr>
          <w:rFonts w:hint="eastAsia" w:ascii="仿宋_GB2312" w:hAnsi="仿宋_GB2312" w:eastAsia="仿宋_GB2312" w:cs="仿宋_GB2312"/>
          <w:color w:val="333333"/>
          <w:kern w:val="0"/>
          <w:sz w:val="32"/>
          <w:szCs w:val="32"/>
          <w:shd w:val="clear" w:color="auto" w:fill="FBFDFE"/>
          <w:lang w:eastAsia="zh-CN"/>
        </w:rPr>
        <w:t>退出</w:t>
      </w:r>
      <w:r>
        <w:rPr>
          <w:rFonts w:hint="eastAsia" w:ascii="仿宋_GB2312" w:hAnsi="仿宋_GB2312" w:eastAsia="仿宋_GB2312" w:cs="仿宋_GB2312"/>
          <w:color w:val="333333"/>
          <w:kern w:val="0"/>
          <w:sz w:val="32"/>
          <w:szCs w:val="32"/>
          <w:shd w:val="clear" w:color="auto" w:fill="FBFDFE"/>
        </w:rPr>
        <w:t>，负责清理相关建筑装修垃圾，恢复原装修状况。</w:t>
      </w:r>
    </w:p>
    <w:p w14:paraId="37FBC401">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受让方根据业务需要，开拓市场、制订对外宣传计划，所需费用由受让方承担，宣传内容、材料需经院方和相关主管单位审批同意，严格遵守国家的政策法规及广告管理规定。</w:t>
      </w:r>
    </w:p>
    <w:p w14:paraId="30DD1125">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受让方所雇人员，费用由受让方负责，并应符合国家规定的用工条件，工资标准按国家有关规定执行。</w:t>
      </w:r>
    </w:p>
    <w:p w14:paraId="7E632CAE">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派驻医院的管理人员具有一定的沟通、管理能力，受让方须对管理人员管理并定期考核，以保证服务质量。受让方所有工作人员要持有效健康证及相应岗位技术资格证上岗，受让方必须定期向医院递交人员花名册，以便核实工作人员健康证及技术资格证书等事宜。卫生检疫、工作人员体检等费用均由受让方自理。</w:t>
      </w:r>
    </w:p>
    <w:p w14:paraId="60C90A8F">
      <w:pPr>
        <w:pStyle w:val="3"/>
        <w:widowControl/>
        <w:numPr>
          <w:ilvl w:val="0"/>
          <w:numId w:val="3"/>
        </w:numPr>
        <w:spacing w:before="156" w:beforeLines="50" w:after="156" w:afterLines="50" w:line="440" w:lineRule="exact"/>
        <w:jc w:val="lef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受让方经营项目应符合医院院感、三甲医院评审等对医院的标准要求，并配合医院的各项检查。对于医院提出的整改意见，受让方应积极听取并采取有效措施及时整改。</w:t>
      </w:r>
    </w:p>
    <w:p w14:paraId="5A794935">
      <w:pPr>
        <w:pStyle w:val="3"/>
        <w:widowControl/>
        <w:numPr>
          <w:ilvl w:val="0"/>
          <w:numId w:val="3"/>
        </w:numPr>
        <w:spacing w:before="156" w:beforeLines="50" w:after="156" w:afterLines="50" w:line="440" w:lineRule="exact"/>
        <w:jc w:val="lef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受让方负责提供配镜业务所需的各种设备、设施和配套等，并自行负责上述设备及配套的维护、检修、保养等；由此产生的一切费用均由受让方负责。</w:t>
      </w:r>
    </w:p>
    <w:p w14:paraId="05489DBF">
      <w:pPr>
        <w:pStyle w:val="3"/>
        <w:widowControl/>
        <w:numPr>
          <w:ilvl w:val="0"/>
          <w:numId w:val="3"/>
        </w:numPr>
        <w:spacing w:before="156" w:beforeLines="50" w:after="156" w:afterLines="50" w:line="440" w:lineRule="exact"/>
        <w:jc w:val="lef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受让方派驻工作人员承担学生视力筛查公益项目，由此产生的交通费、餐饮住宿费、仪器设备费用、劳务费用等，均由受让方承担。</w:t>
      </w:r>
    </w:p>
    <w:p w14:paraId="088C62CF">
      <w:pPr>
        <w:pStyle w:val="3"/>
        <w:widowControl/>
        <w:numPr>
          <w:ilvl w:val="0"/>
          <w:numId w:val="3"/>
        </w:numPr>
        <w:spacing w:before="156" w:beforeLines="50" w:after="156" w:afterLines="50" w:line="440" w:lineRule="exact"/>
        <w:jc w:val="lef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lang w:eastAsia="zh-CN"/>
        </w:rPr>
        <w:t>受让经营</w:t>
      </w:r>
      <w:r>
        <w:rPr>
          <w:rFonts w:hint="eastAsia" w:ascii="仿宋_GB2312" w:hAnsi="仿宋_GB2312" w:eastAsia="仿宋_GB2312" w:cs="仿宋_GB2312"/>
          <w:color w:val="333333"/>
          <w:kern w:val="0"/>
          <w:sz w:val="32"/>
          <w:szCs w:val="32"/>
          <w:shd w:val="clear" w:color="auto" w:fill="FBFDFE"/>
        </w:rPr>
        <w:t>期间，受让方应建立完善的屈光档案管理系统、视力筛查系统、视觉功能检查软件系统、视觉训练软件等互联网信息系统;并无条件与院方共享。</w:t>
      </w:r>
    </w:p>
    <w:p w14:paraId="3A6FED76">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遇突发事件或安全检查时，受让方必须配合有关部门执行任务，并指定专人协助工作，直至完成。</w:t>
      </w:r>
    </w:p>
    <w:p w14:paraId="50AEF6C3">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受让方应遵守医院的规章制度，工作人员在工作时间应穿工作服并佩戴工作牌，积极参加医院的各项培训，爱护医院的设施设备，服从医院主管部门的管理和监督，具有沟通和协调能力，对待患者及家属热情，不与患者或家属吵架，能正确及时解决经营中的各种矛盾和冲突。</w:t>
      </w:r>
    </w:p>
    <w:p w14:paraId="3158502A">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在国家法规允许范围内提供配镜患者的数据，便于医院开展研究。</w:t>
      </w:r>
    </w:p>
    <w:p w14:paraId="4884D837">
      <w:pPr>
        <w:pStyle w:val="3"/>
        <w:widowControl/>
        <w:numPr>
          <w:ilvl w:val="0"/>
          <w:numId w:val="3"/>
        </w:numPr>
        <w:spacing w:before="156" w:beforeLines="50" w:after="156" w:afterLines="50" w:line="440" w:lineRule="exact"/>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双方如遇不可抗力的原因(地震、水灾、战争、政策因素等)终止本协议，可免除相关责任。</w:t>
      </w:r>
    </w:p>
    <w:p w14:paraId="54F6C9C8">
      <w:pPr>
        <w:pStyle w:val="4"/>
        <w:shd w:val="clear" w:color="auto" w:fill="FBFDFE"/>
        <w:spacing w:line="360" w:lineRule="auto"/>
        <w:ind w:firstLine="320" w:firstLineChars="1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16.合同期间如遇有上级部门另有规定的，按规定执行，本项目自然终止，因前期投资运营所涉及的经济损失由受让方自行承担。</w:t>
      </w:r>
    </w:p>
    <w:p w14:paraId="7497AD60">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六、评审办法：综合评审</w:t>
      </w:r>
    </w:p>
    <w:p w14:paraId="7D14D668">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1．评审工作组人员</w:t>
      </w:r>
    </w:p>
    <w:p w14:paraId="611878E5">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由南京市溧水区人民医院聘请相关专家进行评审确定。</w:t>
      </w:r>
    </w:p>
    <w:p w14:paraId="36070671">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2．评审办法：按规定时间、地点，由南京市溧水区人民医院和南京溧水区国有资产资源交易中心代表主持</w:t>
      </w:r>
      <w:r>
        <w:rPr>
          <w:rFonts w:hint="eastAsia" w:ascii="仿宋_GB2312" w:hAnsi="仿宋_GB2312" w:eastAsia="仿宋_GB2312" w:cs="仿宋_GB2312"/>
          <w:color w:val="333333"/>
          <w:sz w:val="32"/>
          <w:szCs w:val="32"/>
          <w:shd w:val="clear" w:color="auto" w:fill="FBFDFE"/>
          <w:lang w:eastAsia="zh-CN"/>
        </w:rPr>
        <w:t>评审</w:t>
      </w:r>
      <w:r>
        <w:rPr>
          <w:rFonts w:hint="eastAsia" w:ascii="仿宋_GB2312" w:hAnsi="仿宋_GB2312" w:eastAsia="仿宋_GB2312" w:cs="仿宋_GB2312"/>
          <w:color w:val="333333"/>
          <w:sz w:val="32"/>
          <w:szCs w:val="32"/>
          <w:shd w:val="clear" w:color="auto" w:fill="FBFDFE"/>
        </w:rPr>
        <w:t>。评</w:t>
      </w:r>
      <w:r>
        <w:rPr>
          <w:rFonts w:hint="eastAsia" w:ascii="仿宋_GB2312" w:hAnsi="仿宋_GB2312" w:eastAsia="仿宋_GB2312" w:cs="仿宋_GB2312"/>
          <w:color w:val="333333"/>
          <w:sz w:val="32"/>
          <w:szCs w:val="32"/>
          <w:shd w:val="clear" w:color="auto" w:fill="FBFDFE"/>
          <w:lang w:eastAsia="zh-CN"/>
        </w:rPr>
        <w:t>审</w:t>
      </w:r>
      <w:r>
        <w:rPr>
          <w:rFonts w:hint="eastAsia" w:ascii="仿宋_GB2312" w:hAnsi="仿宋_GB2312" w:eastAsia="仿宋_GB2312" w:cs="仿宋_GB2312"/>
          <w:color w:val="333333"/>
          <w:sz w:val="32"/>
          <w:szCs w:val="32"/>
          <w:shd w:val="clear" w:color="auto" w:fill="FBFDFE"/>
        </w:rPr>
        <w:t>小组成员根据评审原则、评审办法，结合受让方报价、资信、实力、相关承诺保证等综合因素择优确定受让方。</w:t>
      </w:r>
    </w:p>
    <w:p w14:paraId="165D0A7B">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七、报名需递交的综合评审材料：</w:t>
      </w:r>
    </w:p>
    <w:p w14:paraId="379D5A29">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本次</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项目意向</w:t>
      </w:r>
      <w:r>
        <w:rPr>
          <w:rFonts w:hint="eastAsia" w:ascii="仿宋_GB2312" w:hAnsi="仿宋_GB2312" w:eastAsia="仿宋_GB2312" w:cs="仿宋_GB2312"/>
          <w:color w:val="333333"/>
          <w:sz w:val="32"/>
          <w:szCs w:val="32"/>
          <w:shd w:val="clear" w:color="auto" w:fill="FBFDFE"/>
          <w:lang w:eastAsia="zh-CN"/>
        </w:rPr>
        <w:t>受让</w:t>
      </w:r>
      <w:r>
        <w:rPr>
          <w:rFonts w:hint="eastAsia" w:ascii="仿宋_GB2312" w:hAnsi="仿宋_GB2312" w:eastAsia="仿宋_GB2312" w:cs="仿宋_GB2312"/>
          <w:color w:val="333333"/>
          <w:sz w:val="32"/>
          <w:szCs w:val="32"/>
          <w:shd w:val="clear" w:color="auto" w:fill="FBFDFE"/>
        </w:rPr>
        <w:t>单位报名时，需同时递交</w:t>
      </w:r>
      <w:r>
        <w:rPr>
          <w:rFonts w:hint="eastAsia" w:ascii="仿宋_GB2312" w:hAnsi="仿宋_GB2312" w:eastAsia="仿宋_GB2312" w:cs="仿宋_GB2312"/>
          <w:color w:val="333333"/>
          <w:sz w:val="32"/>
          <w:szCs w:val="32"/>
          <w:shd w:val="clear" w:color="auto" w:fill="FBFDFE"/>
          <w:lang w:eastAsia="zh-CN"/>
        </w:rPr>
        <w:t>转</w:t>
      </w:r>
      <w:r>
        <w:rPr>
          <w:rFonts w:hint="eastAsia" w:ascii="仿宋_GB2312" w:hAnsi="仿宋_GB2312" w:eastAsia="仿宋_GB2312" w:cs="仿宋_GB2312"/>
          <w:color w:val="333333"/>
          <w:sz w:val="32"/>
          <w:szCs w:val="32"/>
          <w:shd w:val="clear" w:color="auto" w:fill="FBFDFE"/>
        </w:rPr>
        <w:t>让方综合评审所需要的材料，具体要求如下：</w:t>
      </w:r>
    </w:p>
    <w:p w14:paraId="394FA2C8">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1．资信材料（5套）</w:t>
      </w:r>
    </w:p>
    <w:p w14:paraId="6ECB5AF4">
      <w:pPr>
        <w:adjustRightInd w:val="0"/>
        <w:snapToGrid w:val="0"/>
        <w:spacing w:line="360" w:lineRule="auto"/>
        <w:ind w:left="560"/>
        <w:rPr>
          <w:rFonts w:hint="eastAsia" w:ascii="仿宋_GB2312" w:hAnsi="仿宋_GB2312" w:eastAsia="仿宋_GB2312" w:cs="仿宋_GB2312"/>
          <w:color w:val="333333"/>
          <w:sz w:val="32"/>
          <w:szCs w:val="32"/>
          <w:highlight w:val="none"/>
          <w:shd w:val="clear" w:color="auto" w:fill="FBFDFE"/>
        </w:rPr>
      </w:pPr>
      <w:r>
        <w:rPr>
          <w:rFonts w:hint="eastAsia" w:ascii="仿宋_GB2312" w:hAnsi="仿宋_GB2312" w:eastAsia="仿宋_GB2312" w:cs="仿宋_GB2312"/>
          <w:color w:val="333333"/>
          <w:sz w:val="32"/>
          <w:szCs w:val="32"/>
          <w:highlight w:val="none"/>
          <w:shd w:val="clear" w:color="auto" w:fill="FBFDFE"/>
        </w:rPr>
        <w:t>（1）意向受让方报名时需提供企业营业执照（副本）复</w:t>
      </w:r>
    </w:p>
    <w:p w14:paraId="515950C1">
      <w:pPr>
        <w:adjustRightInd w:val="0"/>
        <w:snapToGrid w:val="0"/>
        <w:spacing w:line="360" w:lineRule="auto"/>
        <w:rPr>
          <w:rFonts w:ascii="仿宋_GB2312" w:hAnsi="仿宋_GB2312" w:eastAsia="仿宋_GB2312" w:cs="仿宋_GB2312"/>
          <w:color w:val="333333"/>
          <w:sz w:val="32"/>
          <w:szCs w:val="32"/>
          <w:highlight w:val="none"/>
          <w:shd w:val="clear" w:color="auto" w:fill="FBFDFE"/>
        </w:rPr>
      </w:pPr>
      <w:r>
        <w:rPr>
          <w:rFonts w:hint="eastAsia" w:ascii="仿宋_GB2312" w:hAnsi="仿宋_GB2312" w:eastAsia="仿宋_GB2312" w:cs="仿宋_GB2312"/>
          <w:color w:val="333333"/>
          <w:sz w:val="32"/>
          <w:szCs w:val="32"/>
          <w:highlight w:val="none"/>
          <w:shd w:val="clear" w:color="auto" w:fill="FBFDFE"/>
        </w:rPr>
        <w:t>印件（经营范围须有三类医疗器械经营许可）、医疗器械经营许可证复印件（经营范围须有三类医疗器械经营许可）、法定代表人的授权委托书原件、法定代表人身份证复印件、被授权人身份证复印件；（注：1.上述材料均需加盖公章）。</w:t>
      </w:r>
    </w:p>
    <w:p w14:paraId="025AB163">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（2）如出让方查阅</w:t>
      </w:r>
      <w:r>
        <w:rPr>
          <w:rFonts w:hint="eastAsia" w:ascii="仿宋_GB2312" w:hAnsi="仿宋_GB2312" w:eastAsia="仿宋_GB2312" w:cs="仿宋_GB2312"/>
          <w:color w:val="333333"/>
          <w:sz w:val="32"/>
          <w:szCs w:val="32"/>
          <w:shd w:val="clear" w:color="auto" w:fill="FBFDFE"/>
          <w:lang w:eastAsia="zh-CN"/>
        </w:rPr>
        <w:t>意向受让</w:t>
      </w:r>
      <w:r>
        <w:rPr>
          <w:rFonts w:hint="eastAsia" w:ascii="仿宋_GB2312" w:hAnsi="仿宋_GB2312" w:eastAsia="仿宋_GB2312" w:cs="仿宋_GB2312"/>
          <w:color w:val="333333"/>
          <w:sz w:val="32"/>
          <w:szCs w:val="32"/>
          <w:shd w:val="clear" w:color="auto" w:fill="FBFDFE"/>
        </w:rPr>
        <w:t>人弄虚作假伪造盖章，则没收保证金并取消</w:t>
      </w:r>
      <w:r>
        <w:rPr>
          <w:rFonts w:hint="eastAsia" w:ascii="仿宋_GB2312" w:hAnsi="仿宋_GB2312" w:eastAsia="仿宋_GB2312" w:cs="仿宋_GB2312"/>
          <w:color w:val="333333"/>
          <w:sz w:val="32"/>
          <w:szCs w:val="32"/>
          <w:shd w:val="clear" w:color="auto" w:fill="FBFDFE"/>
          <w:lang w:eastAsia="zh-CN"/>
        </w:rPr>
        <w:t>评审</w:t>
      </w:r>
      <w:r>
        <w:rPr>
          <w:rFonts w:hint="eastAsia" w:ascii="仿宋_GB2312" w:hAnsi="仿宋_GB2312" w:eastAsia="仿宋_GB2312" w:cs="仿宋_GB2312"/>
          <w:color w:val="333333"/>
          <w:sz w:val="32"/>
          <w:szCs w:val="32"/>
          <w:shd w:val="clear" w:color="auto" w:fill="FBFDFE"/>
        </w:rPr>
        <w:t>资格。</w:t>
      </w:r>
    </w:p>
    <w:p w14:paraId="24006148">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2．承诺材料（5套）</w:t>
      </w:r>
    </w:p>
    <w:p w14:paraId="46F46804">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承诺主要内容见</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条件中相关内容。另需同时承诺所提供的综合评审材料真实性，若有任何虚构，愿意承担一切经济法律责任（格式详见附件2，原件盖章）。</w:t>
      </w:r>
    </w:p>
    <w:p w14:paraId="152ADAFE">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3.配镜中心意向受让方</w:t>
      </w:r>
      <w:r>
        <w:rPr>
          <w:rFonts w:hint="eastAsia" w:ascii="仿宋_GB2312" w:hAnsi="仿宋_GB2312" w:eastAsia="仿宋_GB2312" w:cs="仿宋_GB2312"/>
          <w:color w:val="333333"/>
          <w:sz w:val="32"/>
          <w:szCs w:val="32"/>
          <w:shd w:val="clear" w:color="auto" w:fill="FBFDFE"/>
          <w:lang w:eastAsia="zh-CN"/>
        </w:rPr>
        <w:t>需</w:t>
      </w:r>
      <w:r>
        <w:rPr>
          <w:rFonts w:hint="eastAsia" w:ascii="仿宋_GB2312" w:hAnsi="仿宋_GB2312" w:eastAsia="仿宋_GB2312" w:cs="仿宋_GB2312"/>
          <w:color w:val="333333"/>
          <w:sz w:val="32"/>
          <w:szCs w:val="32"/>
          <w:shd w:val="clear" w:color="auto" w:fill="FBFDFE"/>
        </w:rPr>
        <w:t>提供本项目评分细则要求的服务方案、相关资格证书复印件、合同复印件等证明材料，并加盖公章（详见附件1：综合评分细则）。</w:t>
      </w:r>
    </w:p>
    <w:p w14:paraId="63CD11F0">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八、其他需要说明的情况：</w:t>
      </w:r>
    </w:p>
    <w:p w14:paraId="16D8CEBB">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上述综合评审材料，请整理成册后单独密封在文件袋内，在报名时随报名材料一并提交，参与门诊三楼（原规培室）配镜中心的意向受让方在密封文件袋上注明：“南京市溧水区人民医院门诊三楼（原规培室）配镜中心</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项目综合评审材料”字样以及单位名称、联系人、联系方式等，密封处加盖骑缝公章。</w:t>
      </w:r>
    </w:p>
    <w:p w14:paraId="5F99F4D5">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lang w:eastAsia="zh-CN"/>
        </w:rPr>
        <w:t>方案</w:t>
      </w:r>
      <w:r>
        <w:rPr>
          <w:rFonts w:hint="eastAsia" w:ascii="仿宋_GB2312" w:hAnsi="仿宋_GB2312" w:eastAsia="仿宋_GB2312" w:cs="仿宋_GB2312"/>
          <w:color w:val="333333"/>
          <w:sz w:val="32"/>
          <w:szCs w:val="32"/>
          <w:shd w:val="clear" w:color="auto" w:fill="FBFDFE"/>
        </w:rPr>
        <w:t>的解释权（法律法规允许范围内）在南京市溧水区人民医院，意向受让方须在报名前认真阅读并完全理解以上内容，报名后须严格执行，否则承担一切的经济、法律责任。</w:t>
      </w:r>
    </w:p>
    <w:p w14:paraId="357109AB">
      <w:pPr>
        <w:pStyle w:val="4"/>
        <w:shd w:val="clear" w:color="auto" w:fill="FBFDFE"/>
        <w:spacing w:line="360" w:lineRule="auto"/>
        <w:rPr>
          <w:rFonts w:ascii="仿宋_GB2312" w:hAnsi="仿宋_GB2312" w:eastAsia="仿宋_GB2312" w:cs="仿宋_GB2312"/>
          <w:color w:val="333333"/>
          <w:sz w:val="32"/>
          <w:szCs w:val="32"/>
          <w:shd w:val="clear" w:color="auto" w:fill="FBFDFE"/>
        </w:rPr>
      </w:pPr>
    </w:p>
    <w:p w14:paraId="55818F7C">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p>
    <w:p w14:paraId="0D5B732D">
      <w:pPr>
        <w:spacing w:line="360" w:lineRule="auto"/>
        <w:jc w:val="right"/>
        <w:rPr>
          <w:rFonts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南京市溧水区人民医院</w:t>
      </w:r>
    </w:p>
    <w:p w14:paraId="6E7AD624">
      <w:pPr>
        <w:spacing w:line="360" w:lineRule="auto"/>
        <w:jc w:val="center"/>
        <w:rPr>
          <w:rFonts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 xml:space="preserve">                                  2024年11月</w:t>
      </w:r>
      <w:r>
        <w:rPr>
          <w:rFonts w:hint="eastAsia" w:ascii="仿宋_GB2312" w:hAnsi="仿宋_GB2312" w:eastAsia="仿宋_GB2312" w:cs="仿宋_GB2312"/>
          <w:color w:val="333333"/>
          <w:kern w:val="0"/>
          <w:sz w:val="32"/>
          <w:szCs w:val="32"/>
          <w:highlight w:val="none"/>
          <w:shd w:val="clear" w:color="auto" w:fill="FBFDFE"/>
          <w:lang w:val="en-US" w:eastAsia="zh-CN"/>
        </w:rPr>
        <w:t>29</w:t>
      </w:r>
      <w:r>
        <w:rPr>
          <w:rFonts w:hint="eastAsia" w:ascii="仿宋_GB2312" w:hAnsi="仿宋_GB2312" w:eastAsia="仿宋_GB2312" w:cs="仿宋_GB2312"/>
          <w:color w:val="333333"/>
          <w:kern w:val="0"/>
          <w:sz w:val="32"/>
          <w:szCs w:val="32"/>
          <w:highlight w:val="none"/>
          <w:shd w:val="clear" w:color="auto" w:fill="FBFDFE"/>
        </w:rPr>
        <w:t>日</w:t>
      </w:r>
    </w:p>
    <w:p w14:paraId="2AC1C035">
      <w:pPr>
        <w:spacing w:line="440" w:lineRule="exact"/>
        <w:rPr>
          <w:rFonts w:hint="eastAsia" w:ascii="仿宋" w:hAnsi="仿宋" w:eastAsia="仿宋" w:cs="宋体"/>
          <w:sz w:val="28"/>
          <w:szCs w:val="28"/>
        </w:rPr>
      </w:pPr>
    </w:p>
    <w:p w14:paraId="067F5171">
      <w:pPr>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附件：</w:t>
      </w:r>
    </w:p>
    <w:p w14:paraId="243A2F1D">
      <w:pPr>
        <w:numPr>
          <w:ilvl w:val="0"/>
          <w:numId w:val="4"/>
        </w:numPr>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南京市溧水区人民医院门诊三楼（原规培室）配镜中心评分细则</w:t>
      </w:r>
    </w:p>
    <w:p w14:paraId="491BC499">
      <w:pPr>
        <w:numPr>
          <w:ilvl w:val="0"/>
          <w:numId w:val="4"/>
        </w:numPr>
        <w:ind w:firstLine="640" w:firstLineChars="200"/>
        <w:rPr>
          <w:rFonts w:hint="eastAsia" w:ascii="仿宋_GB2312" w:hAnsi="仿宋_GB2312" w:eastAsia="仿宋_GB2312" w:cs="仿宋_GB2312"/>
          <w:color w:val="333333"/>
          <w:kern w:val="0"/>
          <w:sz w:val="32"/>
          <w:szCs w:val="32"/>
          <w:shd w:val="clear" w:color="auto" w:fill="FBFDF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333333"/>
          <w:sz w:val="32"/>
          <w:szCs w:val="32"/>
          <w:shd w:val="clear" w:color="auto" w:fill="FBFDFE"/>
        </w:rPr>
        <w:t>承诺响应采购需求格式（供参考）</w:t>
      </w:r>
    </w:p>
    <w:p w14:paraId="43B64994">
      <w:pPr>
        <w:rPr>
          <w:rFonts w:hint="eastAsia" w:ascii="仿宋" w:hAnsi="仿宋" w:eastAsia="仿宋"/>
          <w:b/>
          <w:bCs/>
          <w:w w:val="90"/>
          <w:sz w:val="28"/>
          <w:szCs w:val="28"/>
        </w:rPr>
      </w:pPr>
      <w:r>
        <w:rPr>
          <w:rFonts w:hint="eastAsia" w:ascii="仿宋" w:hAnsi="仿宋" w:eastAsia="仿宋"/>
          <w:b/>
          <w:bCs/>
          <w:w w:val="90"/>
          <w:sz w:val="28"/>
          <w:szCs w:val="28"/>
        </w:rPr>
        <w:t>附件2：承诺响应采购需求格式（供参考）</w:t>
      </w:r>
    </w:p>
    <w:tbl>
      <w:tblPr>
        <w:tblStyle w:val="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5609"/>
        <w:gridCol w:w="2400"/>
        <w:gridCol w:w="1036"/>
      </w:tblGrid>
      <w:tr w14:paraId="4C98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4" w:type="dxa"/>
            <w:noWrap w:val="0"/>
            <w:vAlign w:val="top"/>
          </w:tcPr>
          <w:p w14:paraId="33697586">
            <w:pPr>
              <w:rPr>
                <w:rFonts w:ascii="仿宋_GB2312" w:hAnsi="仿宋_GB2312" w:eastAsia="仿宋_GB2312" w:cs="仿宋_GB2312"/>
                <w:color w:val="333333"/>
                <w:sz w:val="24"/>
                <w:shd w:val="clear" w:color="auto" w:fill="FBFDFE"/>
              </w:rPr>
            </w:pPr>
            <w:r>
              <w:rPr>
                <w:rFonts w:hint="eastAsia" w:ascii="仿宋_GB2312" w:hAnsi="仿宋_GB2312" w:eastAsia="仿宋_GB2312" w:cs="仿宋_GB2312"/>
                <w:color w:val="333333"/>
                <w:sz w:val="24"/>
                <w:shd w:val="clear" w:color="auto" w:fill="FBFDFE"/>
              </w:rPr>
              <w:t>招租要求</w:t>
            </w:r>
          </w:p>
        </w:tc>
        <w:tc>
          <w:tcPr>
            <w:tcW w:w="5609" w:type="dxa"/>
            <w:noWrap w:val="0"/>
            <w:vAlign w:val="top"/>
          </w:tcPr>
          <w:p w14:paraId="11245EB5">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招租要求明细</w:t>
            </w:r>
          </w:p>
        </w:tc>
        <w:tc>
          <w:tcPr>
            <w:tcW w:w="2400" w:type="dxa"/>
            <w:noWrap w:val="0"/>
            <w:vAlign w:val="top"/>
          </w:tcPr>
          <w:p w14:paraId="26ACA67C">
            <w:pPr>
              <w:jc w:val="center"/>
              <w:rPr>
                <w:rFonts w:hint="eastAsia" w:ascii="仿宋_GB2312" w:hAnsi="仿宋_GB2312" w:eastAsia="仿宋_GB2312" w:cs="仿宋_GB2312"/>
                <w:color w:val="333333"/>
                <w:kern w:val="0"/>
                <w:sz w:val="24"/>
                <w:shd w:val="clear" w:color="auto" w:fill="FBFDFE"/>
              </w:rPr>
            </w:pPr>
            <w:r>
              <w:rPr>
                <w:rFonts w:hint="eastAsia" w:ascii="仿宋_GB2312" w:hAnsi="仿宋_GB2312" w:eastAsia="仿宋_GB2312" w:cs="仿宋_GB2312"/>
                <w:color w:val="333333"/>
                <w:kern w:val="0"/>
                <w:sz w:val="24"/>
                <w:shd w:val="clear" w:color="auto" w:fill="FBFDFE"/>
              </w:rPr>
              <w:t>响应情况</w:t>
            </w:r>
          </w:p>
          <w:p w14:paraId="50815160">
            <w:pP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hd w:val="clear" w:color="auto" w:fill="FBFDFE"/>
              </w:rPr>
              <w:t>（请填写完全响应）</w:t>
            </w:r>
          </w:p>
        </w:tc>
        <w:tc>
          <w:tcPr>
            <w:tcW w:w="1036" w:type="dxa"/>
            <w:noWrap w:val="0"/>
            <w:vAlign w:val="top"/>
          </w:tcPr>
          <w:p w14:paraId="51AF3BF9">
            <w:pPr>
              <w:jc w:val="cente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hd w:val="clear" w:color="auto" w:fill="FBFDFE"/>
              </w:rPr>
              <w:t>备注</w:t>
            </w:r>
          </w:p>
        </w:tc>
      </w:tr>
      <w:tr w14:paraId="5EE8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74" w:type="dxa"/>
            <w:vMerge w:val="restart"/>
            <w:noWrap w:val="0"/>
            <w:vAlign w:val="top"/>
          </w:tcPr>
          <w:p w14:paraId="73C824D2">
            <w:pPr>
              <w:pStyle w:val="4"/>
              <w:shd w:val="clear" w:color="auto" w:fill="FBFDFE"/>
              <w:jc w:val="center"/>
              <w:rPr>
                <w:rFonts w:hint="eastAsia" w:ascii="仿宋_GB2312" w:hAnsi="仿宋_GB2312" w:eastAsia="仿宋_GB2312" w:cs="仿宋_GB2312"/>
                <w:color w:val="333333"/>
                <w:shd w:val="clear" w:color="auto" w:fill="FBFDFE"/>
              </w:rPr>
            </w:pPr>
          </w:p>
          <w:p w14:paraId="30F4926B">
            <w:pPr>
              <w:pStyle w:val="4"/>
              <w:shd w:val="clear" w:color="auto" w:fill="FBFDFE"/>
              <w:jc w:val="center"/>
              <w:rPr>
                <w:rFonts w:hint="eastAsia" w:ascii="仿宋_GB2312" w:hAnsi="仿宋_GB2312" w:eastAsia="仿宋_GB2312" w:cs="仿宋_GB2312"/>
                <w:color w:val="333333"/>
                <w:shd w:val="clear" w:color="auto" w:fill="FBFDFE"/>
              </w:rPr>
            </w:pPr>
          </w:p>
          <w:p w14:paraId="07DD5042">
            <w:pPr>
              <w:pStyle w:val="3"/>
              <w:widowControl/>
              <w:spacing w:before="156" w:beforeLines="50" w:after="156" w:afterLines="50" w:line="440" w:lineRule="exact"/>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开展项目</w:t>
            </w:r>
          </w:p>
          <w:p w14:paraId="1D2D4248">
            <w:pPr>
              <w:pStyle w:val="4"/>
              <w:shd w:val="clear" w:color="auto" w:fill="FBFDFE"/>
              <w:jc w:val="center"/>
              <w:rPr>
                <w:rFonts w:hint="eastAsia" w:ascii="仿宋_GB2312" w:hAnsi="仿宋_GB2312" w:eastAsia="仿宋_GB2312" w:cs="仿宋_GB2312"/>
                <w:color w:val="333333"/>
                <w:shd w:val="clear" w:color="auto" w:fill="FBFDFE"/>
              </w:rPr>
            </w:pPr>
          </w:p>
          <w:p w14:paraId="54445EEC">
            <w:pPr>
              <w:rPr>
                <w:rFonts w:ascii="仿宋_GB2312" w:hAnsi="仿宋_GB2312" w:eastAsia="仿宋_GB2312" w:cs="仿宋_GB2312"/>
                <w:color w:val="333333"/>
                <w:sz w:val="24"/>
                <w:shd w:val="clear" w:color="auto" w:fill="FBFDFE"/>
              </w:rPr>
            </w:pPr>
          </w:p>
        </w:tc>
        <w:tc>
          <w:tcPr>
            <w:tcW w:w="5609" w:type="dxa"/>
            <w:noWrap w:val="0"/>
            <w:vAlign w:val="top"/>
          </w:tcPr>
          <w:p w14:paraId="310C191F">
            <w:pPr>
              <w:pStyle w:val="3"/>
              <w:widowControl/>
              <w:spacing w:before="156" w:beforeLines="50" w:after="156" w:afterLines="50"/>
              <w:rPr>
                <w:rFonts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（1）提供框架眼镜的验配、加工工作。配备配镜、加工所需的相关设备，并保证设备正常有效运行。</w:t>
            </w:r>
          </w:p>
        </w:tc>
        <w:tc>
          <w:tcPr>
            <w:tcW w:w="2400" w:type="dxa"/>
            <w:noWrap w:val="0"/>
            <w:vAlign w:val="top"/>
          </w:tcPr>
          <w:p w14:paraId="2C763A78">
            <w:pPr>
              <w:rPr>
                <w:rFonts w:ascii="仿宋_GB2312" w:hAnsi="仿宋_GB2312" w:eastAsia="仿宋_GB2312" w:cs="仿宋_GB2312"/>
                <w:color w:val="333333"/>
                <w:sz w:val="32"/>
                <w:szCs w:val="32"/>
                <w:shd w:val="clear" w:color="auto" w:fill="FBFDFE"/>
              </w:rPr>
            </w:pPr>
          </w:p>
        </w:tc>
        <w:tc>
          <w:tcPr>
            <w:tcW w:w="1036" w:type="dxa"/>
            <w:noWrap w:val="0"/>
            <w:vAlign w:val="top"/>
          </w:tcPr>
          <w:p w14:paraId="486CD033">
            <w:pPr>
              <w:rPr>
                <w:rFonts w:ascii="仿宋_GB2312" w:hAnsi="仿宋_GB2312" w:eastAsia="仿宋_GB2312" w:cs="仿宋_GB2312"/>
                <w:color w:val="333333"/>
                <w:sz w:val="32"/>
                <w:szCs w:val="32"/>
                <w:shd w:val="clear" w:color="auto" w:fill="FBFDFE"/>
              </w:rPr>
            </w:pPr>
          </w:p>
        </w:tc>
      </w:tr>
      <w:tr w14:paraId="3FF1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574" w:type="dxa"/>
            <w:vMerge w:val="continue"/>
            <w:noWrap w:val="0"/>
            <w:vAlign w:val="top"/>
          </w:tcPr>
          <w:p w14:paraId="0AC2F142">
            <w:pPr>
              <w:rPr>
                <w:rFonts w:ascii="仿宋_GB2312" w:hAnsi="仿宋_GB2312" w:eastAsia="仿宋_GB2312" w:cs="仿宋_GB2312"/>
                <w:color w:val="333333"/>
                <w:sz w:val="24"/>
                <w:shd w:val="clear" w:color="auto" w:fill="FBFDFE"/>
              </w:rPr>
            </w:pPr>
          </w:p>
        </w:tc>
        <w:tc>
          <w:tcPr>
            <w:tcW w:w="5609" w:type="dxa"/>
            <w:noWrap w:val="0"/>
            <w:vAlign w:val="top"/>
          </w:tcPr>
          <w:p w14:paraId="0FCBBFB7">
            <w:pPr>
              <w:pStyle w:val="3"/>
              <w:widowControl/>
              <w:spacing w:before="156" w:beforeLines="50" w:after="156" w:afterLines="50"/>
              <w:rPr>
                <w:rFonts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（2）提供角膜塑形镜</w:t>
            </w:r>
            <w:r>
              <w:rPr>
                <w:rFonts w:hint="eastAsia" w:ascii="仿宋_GB2312" w:hAnsi="仿宋_GB2312" w:eastAsia="仿宋_GB2312" w:cs="仿宋_GB2312"/>
                <w:color w:val="333333"/>
                <w:sz w:val="24"/>
                <w:szCs w:val="24"/>
                <w:shd w:val="clear" w:color="auto" w:fill="FBFDFE"/>
                <w:lang w:val="en-US" w:eastAsia="zh-CN"/>
              </w:rPr>
              <w:t>（平时接受医院相关职能科室的监督检查及整改，如不配合，会作出相应处罚）</w:t>
            </w:r>
            <w:r>
              <w:rPr>
                <w:rFonts w:hint="eastAsia" w:ascii="仿宋_GB2312" w:hAnsi="仿宋_GB2312" w:eastAsia="仿宋_GB2312" w:cs="仿宋_GB2312"/>
                <w:color w:val="333333"/>
                <w:sz w:val="24"/>
                <w:szCs w:val="24"/>
                <w:shd w:val="clear" w:color="auto" w:fill="FBFDFE"/>
              </w:rPr>
              <w:t>及近视离焦镜的验配工作。</w:t>
            </w:r>
          </w:p>
        </w:tc>
        <w:tc>
          <w:tcPr>
            <w:tcW w:w="2400" w:type="dxa"/>
            <w:noWrap w:val="0"/>
            <w:vAlign w:val="top"/>
          </w:tcPr>
          <w:p w14:paraId="5B243BD1">
            <w:pPr>
              <w:rPr>
                <w:rFonts w:ascii="仿宋_GB2312" w:hAnsi="仿宋_GB2312" w:eastAsia="仿宋_GB2312" w:cs="仿宋_GB2312"/>
                <w:color w:val="333333"/>
                <w:sz w:val="32"/>
                <w:szCs w:val="32"/>
                <w:shd w:val="clear" w:color="auto" w:fill="FBFDFE"/>
              </w:rPr>
            </w:pPr>
          </w:p>
        </w:tc>
        <w:tc>
          <w:tcPr>
            <w:tcW w:w="1036" w:type="dxa"/>
            <w:noWrap w:val="0"/>
            <w:vAlign w:val="top"/>
          </w:tcPr>
          <w:p w14:paraId="35F0F341">
            <w:pPr>
              <w:rPr>
                <w:rFonts w:ascii="仿宋_GB2312" w:hAnsi="仿宋_GB2312" w:eastAsia="仿宋_GB2312" w:cs="仿宋_GB2312"/>
                <w:color w:val="333333"/>
                <w:sz w:val="32"/>
                <w:szCs w:val="32"/>
                <w:shd w:val="clear" w:color="auto" w:fill="FBFDFE"/>
              </w:rPr>
            </w:pPr>
          </w:p>
        </w:tc>
      </w:tr>
      <w:tr w14:paraId="6F8B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Merge w:val="continue"/>
            <w:noWrap w:val="0"/>
            <w:vAlign w:val="top"/>
          </w:tcPr>
          <w:p w14:paraId="1E4B9E48">
            <w:pPr>
              <w:rPr>
                <w:rFonts w:ascii="仿宋_GB2312" w:hAnsi="仿宋_GB2312" w:eastAsia="仿宋_GB2312" w:cs="仿宋_GB2312"/>
                <w:color w:val="333333"/>
                <w:sz w:val="24"/>
                <w:shd w:val="clear" w:color="auto" w:fill="FBFDFE"/>
              </w:rPr>
            </w:pPr>
          </w:p>
        </w:tc>
        <w:tc>
          <w:tcPr>
            <w:tcW w:w="5609" w:type="dxa"/>
            <w:noWrap w:val="0"/>
            <w:vAlign w:val="top"/>
          </w:tcPr>
          <w:p w14:paraId="0A845420">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（3）开展相关近视、弱视，视功能异常等治疗训练项目。</w:t>
            </w:r>
          </w:p>
        </w:tc>
        <w:tc>
          <w:tcPr>
            <w:tcW w:w="2400" w:type="dxa"/>
            <w:noWrap w:val="0"/>
            <w:vAlign w:val="top"/>
          </w:tcPr>
          <w:p w14:paraId="40C1BF6D">
            <w:pPr>
              <w:rPr>
                <w:rFonts w:ascii="仿宋_GB2312" w:hAnsi="仿宋_GB2312" w:eastAsia="仿宋_GB2312" w:cs="仿宋_GB2312"/>
                <w:color w:val="333333"/>
                <w:sz w:val="32"/>
                <w:szCs w:val="32"/>
                <w:shd w:val="clear" w:color="auto" w:fill="FBFDFE"/>
              </w:rPr>
            </w:pPr>
          </w:p>
        </w:tc>
        <w:tc>
          <w:tcPr>
            <w:tcW w:w="1036" w:type="dxa"/>
            <w:noWrap w:val="0"/>
            <w:vAlign w:val="top"/>
          </w:tcPr>
          <w:p w14:paraId="082D5EB8">
            <w:pPr>
              <w:rPr>
                <w:rFonts w:ascii="仿宋_GB2312" w:hAnsi="仿宋_GB2312" w:eastAsia="仿宋_GB2312" w:cs="仿宋_GB2312"/>
                <w:color w:val="333333"/>
                <w:sz w:val="32"/>
                <w:szCs w:val="32"/>
                <w:shd w:val="clear" w:color="auto" w:fill="FBFDFE"/>
              </w:rPr>
            </w:pPr>
          </w:p>
        </w:tc>
      </w:tr>
      <w:tr w14:paraId="7CC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Merge w:val="continue"/>
            <w:noWrap w:val="0"/>
            <w:vAlign w:val="top"/>
          </w:tcPr>
          <w:p w14:paraId="69C80CA0">
            <w:pPr>
              <w:rPr>
                <w:rFonts w:ascii="仿宋_GB2312" w:hAnsi="仿宋_GB2312" w:eastAsia="仿宋_GB2312" w:cs="仿宋_GB2312"/>
                <w:color w:val="333333"/>
                <w:sz w:val="24"/>
                <w:shd w:val="clear" w:color="auto" w:fill="FBFDFE"/>
              </w:rPr>
            </w:pPr>
          </w:p>
        </w:tc>
        <w:tc>
          <w:tcPr>
            <w:tcW w:w="5609" w:type="dxa"/>
            <w:noWrap w:val="0"/>
            <w:vAlign w:val="top"/>
          </w:tcPr>
          <w:p w14:paraId="6D6928B7">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（4）以上项目产品质量合格，品牌保证，训练科学规范，如有违反规定，按照双倍服务价格罚款。</w:t>
            </w:r>
          </w:p>
        </w:tc>
        <w:tc>
          <w:tcPr>
            <w:tcW w:w="2400" w:type="dxa"/>
            <w:noWrap w:val="0"/>
            <w:vAlign w:val="top"/>
          </w:tcPr>
          <w:p w14:paraId="145C019D">
            <w:pPr>
              <w:rPr>
                <w:rFonts w:ascii="仿宋_GB2312" w:hAnsi="仿宋_GB2312" w:eastAsia="仿宋_GB2312" w:cs="仿宋_GB2312"/>
                <w:color w:val="333333"/>
                <w:sz w:val="32"/>
                <w:szCs w:val="32"/>
                <w:shd w:val="clear" w:color="auto" w:fill="FBFDFE"/>
              </w:rPr>
            </w:pPr>
          </w:p>
        </w:tc>
        <w:tc>
          <w:tcPr>
            <w:tcW w:w="1036" w:type="dxa"/>
            <w:noWrap w:val="0"/>
            <w:vAlign w:val="top"/>
          </w:tcPr>
          <w:p w14:paraId="71B3C75A">
            <w:pPr>
              <w:rPr>
                <w:rFonts w:ascii="仿宋_GB2312" w:hAnsi="仿宋_GB2312" w:eastAsia="仿宋_GB2312" w:cs="仿宋_GB2312"/>
                <w:color w:val="333333"/>
                <w:sz w:val="32"/>
                <w:szCs w:val="32"/>
                <w:shd w:val="clear" w:color="auto" w:fill="FBFDFE"/>
              </w:rPr>
            </w:pPr>
          </w:p>
        </w:tc>
      </w:tr>
      <w:tr w14:paraId="5CE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574" w:type="dxa"/>
            <w:vMerge w:val="restart"/>
            <w:noWrap w:val="0"/>
            <w:vAlign w:val="top"/>
          </w:tcPr>
          <w:p w14:paraId="6C708FB2">
            <w:pPr>
              <w:pStyle w:val="4"/>
              <w:shd w:val="clear" w:color="auto" w:fill="FBFDFE"/>
              <w:jc w:val="center"/>
              <w:rPr>
                <w:rFonts w:hint="eastAsia" w:ascii="仿宋_GB2312" w:hAnsi="仿宋_GB2312" w:eastAsia="仿宋_GB2312" w:cs="仿宋_GB2312"/>
                <w:color w:val="333333"/>
                <w:shd w:val="clear" w:color="auto" w:fill="FBFDFE"/>
              </w:rPr>
            </w:pPr>
          </w:p>
          <w:p w14:paraId="1A1C303F">
            <w:pPr>
              <w:pStyle w:val="4"/>
              <w:shd w:val="clear" w:color="auto" w:fill="FBFDFE"/>
              <w:jc w:val="center"/>
              <w:rPr>
                <w:rFonts w:hint="eastAsia" w:ascii="仿宋_GB2312" w:hAnsi="仿宋_GB2312" w:eastAsia="仿宋_GB2312" w:cs="仿宋_GB2312"/>
                <w:color w:val="333333"/>
                <w:shd w:val="clear" w:color="auto" w:fill="FBFDFE"/>
              </w:rPr>
            </w:pPr>
          </w:p>
          <w:p w14:paraId="11C94281">
            <w:pPr>
              <w:pStyle w:val="3"/>
              <w:widowControl/>
              <w:spacing w:before="156" w:beforeLines="50" w:after="156" w:afterLines="50" w:line="440" w:lineRule="exact"/>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24"/>
                <w:szCs w:val="24"/>
                <w:shd w:val="clear" w:color="auto" w:fill="FBFDFE"/>
              </w:rPr>
              <w:t>2.学术指导</w:t>
            </w:r>
          </w:p>
        </w:tc>
        <w:tc>
          <w:tcPr>
            <w:tcW w:w="5609" w:type="dxa"/>
            <w:noWrap w:val="0"/>
            <w:vAlign w:val="top"/>
          </w:tcPr>
          <w:p w14:paraId="2D27DC16">
            <w:pPr>
              <w:pStyle w:val="3"/>
              <w:widowControl/>
              <w:spacing w:before="156" w:beforeLines="50" w:after="156" w:afterLines="50"/>
              <w:rPr>
                <w:rFonts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协助院方邀请省级（含）以上知名专家来院坐诊及手术，带教指导科室专业技术，每月一次专家出诊指导，所请专家，需提前报医院备案，由此产生的交通费、餐饮住宿费、劳务费用等，由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承担，专家每缺失一次，罚款5000元。（主要方向：小儿斜弱视的治疗，小儿近视防控。）</w:t>
            </w:r>
          </w:p>
        </w:tc>
        <w:tc>
          <w:tcPr>
            <w:tcW w:w="2400" w:type="dxa"/>
            <w:noWrap w:val="0"/>
            <w:vAlign w:val="top"/>
          </w:tcPr>
          <w:p w14:paraId="18E1AB52">
            <w:pPr>
              <w:rPr>
                <w:rFonts w:ascii="仿宋_GB2312" w:hAnsi="仿宋_GB2312" w:eastAsia="仿宋_GB2312" w:cs="仿宋_GB2312"/>
                <w:color w:val="333333"/>
                <w:sz w:val="32"/>
                <w:szCs w:val="32"/>
                <w:shd w:val="clear" w:color="auto" w:fill="FBFDFE"/>
              </w:rPr>
            </w:pPr>
          </w:p>
        </w:tc>
        <w:tc>
          <w:tcPr>
            <w:tcW w:w="1036" w:type="dxa"/>
            <w:noWrap w:val="0"/>
            <w:vAlign w:val="top"/>
          </w:tcPr>
          <w:p w14:paraId="51D4DDE2">
            <w:pPr>
              <w:rPr>
                <w:rFonts w:ascii="仿宋_GB2312" w:hAnsi="仿宋_GB2312" w:eastAsia="仿宋_GB2312" w:cs="仿宋_GB2312"/>
                <w:color w:val="333333"/>
                <w:sz w:val="32"/>
                <w:szCs w:val="32"/>
                <w:shd w:val="clear" w:color="auto" w:fill="FBFDFE"/>
              </w:rPr>
            </w:pPr>
          </w:p>
        </w:tc>
      </w:tr>
      <w:tr w14:paraId="17EC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74" w:type="dxa"/>
            <w:vMerge w:val="continue"/>
            <w:noWrap w:val="0"/>
            <w:vAlign w:val="top"/>
          </w:tcPr>
          <w:p w14:paraId="0B36F199">
            <w:pPr>
              <w:rPr>
                <w:rFonts w:ascii="仿宋_GB2312" w:hAnsi="仿宋_GB2312" w:eastAsia="仿宋_GB2312" w:cs="仿宋_GB2312"/>
                <w:color w:val="333333"/>
                <w:sz w:val="32"/>
                <w:szCs w:val="32"/>
                <w:shd w:val="clear" w:color="auto" w:fill="FBFDFE"/>
              </w:rPr>
            </w:pPr>
          </w:p>
        </w:tc>
        <w:tc>
          <w:tcPr>
            <w:tcW w:w="5609" w:type="dxa"/>
            <w:noWrap w:val="0"/>
            <w:vAlign w:val="top"/>
          </w:tcPr>
          <w:p w14:paraId="2C8C12DD">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（2）协助院方学术推动，进行相关学术或者公益讲座，每年2次公益活动，缺失一次，罚款10000元。</w:t>
            </w:r>
          </w:p>
        </w:tc>
        <w:tc>
          <w:tcPr>
            <w:tcW w:w="2400" w:type="dxa"/>
            <w:noWrap w:val="0"/>
            <w:vAlign w:val="top"/>
          </w:tcPr>
          <w:p w14:paraId="63CED9DE">
            <w:pPr>
              <w:rPr>
                <w:rFonts w:ascii="仿宋_GB2312" w:hAnsi="仿宋_GB2312" w:eastAsia="仿宋_GB2312" w:cs="仿宋_GB2312"/>
                <w:color w:val="333333"/>
                <w:sz w:val="32"/>
                <w:szCs w:val="32"/>
                <w:shd w:val="clear" w:color="auto" w:fill="FBFDFE"/>
              </w:rPr>
            </w:pPr>
          </w:p>
        </w:tc>
        <w:tc>
          <w:tcPr>
            <w:tcW w:w="1036" w:type="dxa"/>
            <w:noWrap w:val="0"/>
            <w:vAlign w:val="top"/>
          </w:tcPr>
          <w:p w14:paraId="741AF027">
            <w:pPr>
              <w:rPr>
                <w:rFonts w:ascii="仿宋_GB2312" w:hAnsi="仿宋_GB2312" w:eastAsia="仿宋_GB2312" w:cs="仿宋_GB2312"/>
                <w:color w:val="333333"/>
                <w:sz w:val="32"/>
                <w:szCs w:val="32"/>
                <w:shd w:val="clear" w:color="auto" w:fill="FBFDFE"/>
              </w:rPr>
            </w:pPr>
          </w:p>
        </w:tc>
      </w:tr>
      <w:tr w14:paraId="4232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4" w:type="dxa"/>
            <w:noWrap w:val="0"/>
            <w:vAlign w:val="top"/>
          </w:tcPr>
          <w:p w14:paraId="12D96116">
            <w:pPr>
              <w:pStyle w:val="3"/>
              <w:widowControl/>
              <w:spacing w:before="156" w:beforeLines="50" w:after="156" w:afterLines="50" w:line="440" w:lineRule="exact"/>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24"/>
                <w:szCs w:val="24"/>
                <w:shd w:val="clear" w:color="auto" w:fill="FBFDFE"/>
              </w:rPr>
              <w:t>3.近视防控</w:t>
            </w:r>
          </w:p>
        </w:tc>
        <w:tc>
          <w:tcPr>
            <w:tcW w:w="5609" w:type="dxa"/>
            <w:noWrap w:val="0"/>
            <w:vAlign w:val="top"/>
          </w:tcPr>
          <w:p w14:paraId="6AC982FB">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协助院方定期到幼儿园、中小学或社区进行视力筛查，科普宣教，建立屈光档案等，每年2次筛查，缺失一次，罚款10000元。</w:t>
            </w:r>
          </w:p>
        </w:tc>
        <w:tc>
          <w:tcPr>
            <w:tcW w:w="2400" w:type="dxa"/>
            <w:noWrap w:val="0"/>
            <w:vAlign w:val="top"/>
          </w:tcPr>
          <w:p w14:paraId="3B78E049">
            <w:pPr>
              <w:rPr>
                <w:rFonts w:ascii="仿宋_GB2312" w:hAnsi="仿宋_GB2312" w:eastAsia="仿宋_GB2312" w:cs="仿宋_GB2312"/>
                <w:color w:val="333333"/>
                <w:sz w:val="32"/>
                <w:szCs w:val="32"/>
                <w:shd w:val="clear" w:color="auto" w:fill="FBFDFE"/>
              </w:rPr>
            </w:pPr>
          </w:p>
        </w:tc>
        <w:tc>
          <w:tcPr>
            <w:tcW w:w="1036" w:type="dxa"/>
            <w:noWrap w:val="0"/>
            <w:vAlign w:val="top"/>
          </w:tcPr>
          <w:p w14:paraId="0CA3B838">
            <w:pPr>
              <w:rPr>
                <w:rFonts w:ascii="仿宋_GB2312" w:hAnsi="仿宋_GB2312" w:eastAsia="仿宋_GB2312" w:cs="仿宋_GB2312"/>
                <w:color w:val="333333"/>
                <w:sz w:val="32"/>
                <w:szCs w:val="32"/>
                <w:shd w:val="clear" w:color="auto" w:fill="FBFDFE"/>
              </w:rPr>
            </w:pPr>
          </w:p>
        </w:tc>
      </w:tr>
      <w:tr w14:paraId="5E9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74" w:type="dxa"/>
            <w:noWrap w:val="0"/>
            <w:vAlign w:val="top"/>
          </w:tcPr>
          <w:p w14:paraId="0AFF757A">
            <w:pPr>
              <w:pStyle w:val="3"/>
              <w:widowControl/>
              <w:spacing w:before="156" w:beforeLines="50" w:after="156" w:afterLines="50" w:line="440" w:lineRule="exact"/>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24"/>
                <w:szCs w:val="24"/>
                <w:shd w:val="clear" w:color="auto" w:fill="FBFDFE"/>
              </w:rPr>
              <w:t>4.工作人员</w:t>
            </w:r>
          </w:p>
        </w:tc>
        <w:tc>
          <w:tcPr>
            <w:tcW w:w="5609" w:type="dxa"/>
            <w:noWrap w:val="0"/>
            <w:vAlign w:val="top"/>
          </w:tcPr>
          <w:p w14:paraId="072258DE">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应配备视光专业视光师2名，具备资质的角膜塑形镜验配师1名，协助科室兼职特检工作，服从眼科调配，如有违规，罚款20000元。</w:t>
            </w:r>
          </w:p>
        </w:tc>
        <w:tc>
          <w:tcPr>
            <w:tcW w:w="2400" w:type="dxa"/>
            <w:noWrap w:val="0"/>
            <w:vAlign w:val="top"/>
          </w:tcPr>
          <w:p w14:paraId="710492C5">
            <w:pPr>
              <w:rPr>
                <w:rFonts w:ascii="仿宋_GB2312" w:hAnsi="仿宋_GB2312" w:eastAsia="仿宋_GB2312" w:cs="仿宋_GB2312"/>
                <w:color w:val="333333"/>
                <w:sz w:val="32"/>
                <w:szCs w:val="32"/>
                <w:shd w:val="clear" w:color="auto" w:fill="FBFDFE"/>
              </w:rPr>
            </w:pPr>
          </w:p>
        </w:tc>
        <w:tc>
          <w:tcPr>
            <w:tcW w:w="1036" w:type="dxa"/>
            <w:noWrap w:val="0"/>
            <w:vAlign w:val="top"/>
          </w:tcPr>
          <w:p w14:paraId="6DE020C5">
            <w:pPr>
              <w:rPr>
                <w:rFonts w:ascii="仿宋_GB2312" w:hAnsi="仿宋_GB2312" w:eastAsia="仿宋_GB2312" w:cs="仿宋_GB2312"/>
                <w:color w:val="333333"/>
                <w:sz w:val="32"/>
                <w:szCs w:val="32"/>
                <w:shd w:val="clear" w:color="auto" w:fill="FBFDFE"/>
              </w:rPr>
            </w:pPr>
          </w:p>
        </w:tc>
      </w:tr>
      <w:tr w14:paraId="1240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574" w:type="dxa"/>
            <w:noWrap w:val="0"/>
            <w:vAlign w:val="top"/>
          </w:tcPr>
          <w:p w14:paraId="65EBAB4E">
            <w:pPr>
              <w:pStyle w:val="3"/>
              <w:widowControl/>
              <w:spacing w:before="156" w:beforeLines="50" w:after="156" w:afterLines="50" w:line="440" w:lineRule="exact"/>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5.仪器设备</w:t>
            </w:r>
          </w:p>
          <w:p w14:paraId="224E612B">
            <w:pPr>
              <w:rPr>
                <w:rFonts w:ascii="仿宋_GB2312" w:hAnsi="仿宋_GB2312" w:eastAsia="仿宋_GB2312" w:cs="仿宋_GB2312"/>
                <w:color w:val="333333"/>
                <w:sz w:val="32"/>
                <w:szCs w:val="32"/>
                <w:shd w:val="clear" w:color="auto" w:fill="FBFDFE"/>
              </w:rPr>
            </w:pPr>
          </w:p>
        </w:tc>
        <w:tc>
          <w:tcPr>
            <w:tcW w:w="5609" w:type="dxa"/>
            <w:noWrap w:val="0"/>
            <w:vAlign w:val="top"/>
          </w:tcPr>
          <w:p w14:paraId="7FA9ECD7">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在院方设备配备以下设备不足的情况下，需</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提供以下设备，至少应包括：全自动电脑验光曲率仪，角膜地形图仪，眼科生物测量仪，塑形镜验配箱，RGP验配箱，近视理疗仪，弱视治疗仪，同视机，三棱镜，验光镜片箱，瞳距仪，电脑焦度计，近视弱视训练仪，综合验光仪（综合台、投影仪、牛眼），视功能训练仪，多维视觉训练系统，智能翻转镜等。所使用的仪器设备符合国家质量安全要求。医院提供的设备，需妥善使用保管，如有损坏，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负责维修，</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自带设备，由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负责维护保养。</w:t>
            </w:r>
          </w:p>
        </w:tc>
        <w:tc>
          <w:tcPr>
            <w:tcW w:w="2400" w:type="dxa"/>
            <w:noWrap w:val="0"/>
            <w:vAlign w:val="top"/>
          </w:tcPr>
          <w:p w14:paraId="36922A36">
            <w:pPr>
              <w:rPr>
                <w:rFonts w:ascii="仿宋_GB2312" w:hAnsi="仿宋_GB2312" w:eastAsia="仿宋_GB2312" w:cs="仿宋_GB2312"/>
                <w:color w:val="333333"/>
                <w:sz w:val="32"/>
                <w:szCs w:val="32"/>
                <w:shd w:val="clear" w:color="auto" w:fill="FBFDFE"/>
              </w:rPr>
            </w:pPr>
          </w:p>
        </w:tc>
        <w:tc>
          <w:tcPr>
            <w:tcW w:w="1036" w:type="dxa"/>
            <w:noWrap w:val="0"/>
            <w:vAlign w:val="top"/>
          </w:tcPr>
          <w:p w14:paraId="6BFF9A96">
            <w:pPr>
              <w:rPr>
                <w:rFonts w:ascii="仿宋_GB2312" w:hAnsi="仿宋_GB2312" w:eastAsia="仿宋_GB2312" w:cs="仿宋_GB2312"/>
                <w:color w:val="333333"/>
                <w:sz w:val="32"/>
                <w:szCs w:val="32"/>
                <w:shd w:val="clear" w:color="auto" w:fill="FBFDFE"/>
              </w:rPr>
            </w:pPr>
          </w:p>
        </w:tc>
      </w:tr>
      <w:tr w14:paraId="0884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restart"/>
            <w:noWrap w:val="0"/>
            <w:vAlign w:val="top"/>
          </w:tcPr>
          <w:p w14:paraId="4C8D0320">
            <w:pPr>
              <w:rPr>
                <w:rFonts w:hint="eastAsia" w:ascii="仿宋_GB2312" w:hAnsi="仿宋_GB2312" w:eastAsia="仿宋_GB2312" w:cs="仿宋_GB2312"/>
                <w:color w:val="333333"/>
                <w:sz w:val="24"/>
                <w:shd w:val="clear" w:color="auto" w:fill="FBFDFE"/>
              </w:rPr>
            </w:pPr>
          </w:p>
          <w:p w14:paraId="1320F411">
            <w:pPr>
              <w:rPr>
                <w:rFonts w:hint="eastAsia" w:ascii="仿宋_GB2312" w:hAnsi="仿宋_GB2312" w:eastAsia="仿宋_GB2312" w:cs="仿宋_GB2312"/>
                <w:color w:val="333333"/>
                <w:sz w:val="24"/>
                <w:shd w:val="clear" w:color="auto" w:fill="FBFDFE"/>
              </w:rPr>
            </w:pPr>
          </w:p>
          <w:p w14:paraId="2F3AA917">
            <w:pP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24"/>
                <w:shd w:val="clear" w:color="auto" w:fill="FBFDFE"/>
              </w:rPr>
              <w:t>6.其它要求：</w:t>
            </w:r>
          </w:p>
        </w:tc>
        <w:tc>
          <w:tcPr>
            <w:tcW w:w="5609" w:type="dxa"/>
            <w:noWrap w:val="0"/>
            <w:vAlign w:val="top"/>
          </w:tcPr>
          <w:p w14:paraId="29997150">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lang w:eastAsia="zh-CN"/>
              </w:rPr>
            </w:pPr>
            <w:r>
              <w:rPr>
                <w:rFonts w:hint="eastAsia" w:ascii="仿宋_GB2312" w:hAnsi="仿宋_GB2312" w:eastAsia="仿宋_GB2312" w:cs="仿宋_GB2312"/>
                <w:color w:val="333333"/>
                <w:sz w:val="24"/>
                <w:szCs w:val="24"/>
                <w:shd w:val="clear" w:color="auto" w:fill="FBFDFE"/>
              </w:rPr>
              <w:t>（1）</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方确定：由院方通过对</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方对本项目的响应内容（重点就促进扶持学科发展等方面）及场地</w:t>
            </w:r>
            <w:r>
              <w:rPr>
                <w:rFonts w:hint="eastAsia" w:ascii="仿宋_GB2312" w:hAnsi="仿宋_GB2312" w:eastAsia="仿宋_GB2312" w:cs="仿宋_GB2312"/>
                <w:color w:val="333333"/>
                <w:sz w:val="24"/>
                <w:szCs w:val="24"/>
                <w:shd w:val="clear" w:color="auto" w:fill="FBFDFE"/>
                <w:lang w:eastAsia="zh-CN"/>
              </w:rPr>
              <w:t>经营权转让</w:t>
            </w:r>
            <w:r>
              <w:rPr>
                <w:rFonts w:hint="eastAsia" w:ascii="仿宋_GB2312" w:hAnsi="仿宋_GB2312" w:eastAsia="仿宋_GB2312" w:cs="仿宋_GB2312"/>
                <w:color w:val="333333"/>
                <w:sz w:val="24"/>
                <w:szCs w:val="24"/>
                <w:shd w:val="clear" w:color="auto" w:fill="FBFDFE"/>
              </w:rPr>
              <w:t>金作综合评价，</w:t>
            </w:r>
            <w:r>
              <w:rPr>
                <w:rFonts w:hint="eastAsia" w:ascii="仿宋_GB2312" w:hAnsi="仿宋_GB2312" w:eastAsia="仿宋_GB2312" w:cs="仿宋_GB2312"/>
                <w:color w:val="333333"/>
                <w:sz w:val="24"/>
                <w:szCs w:val="24"/>
                <w:shd w:val="clear" w:color="auto" w:fill="FBFDFE"/>
                <w:lang w:eastAsia="zh-CN"/>
              </w:rPr>
              <w:t>得分最高者确认为受让方。</w:t>
            </w:r>
          </w:p>
        </w:tc>
        <w:tc>
          <w:tcPr>
            <w:tcW w:w="2400" w:type="dxa"/>
            <w:noWrap w:val="0"/>
            <w:vAlign w:val="top"/>
          </w:tcPr>
          <w:p w14:paraId="243CEA72">
            <w:pPr>
              <w:rPr>
                <w:rFonts w:ascii="仿宋_GB2312" w:hAnsi="仿宋_GB2312" w:eastAsia="仿宋_GB2312" w:cs="仿宋_GB2312"/>
                <w:color w:val="333333"/>
                <w:sz w:val="32"/>
                <w:szCs w:val="32"/>
                <w:shd w:val="clear" w:color="auto" w:fill="FBFDFE"/>
              </w:rPr>
            </w:pPr>
          </w:p>
        </w:tc>
        <w:tc>
          <w:tcPr>
            <w:tcW w:w="1036" w:type="dxa"/>
            <w:noWrap w:val="0"/>
            <w:vAlign w:val="top"/>
          </w:tcPr>
          <w:p w14:paraId="5D91BC04">
            <w:pPr>
              <w:rPr>
                <w:rFonts w:ascii="仿宋_GB2312" w:hAnsi="仿宋_GB2312" w:eastAsia="仿宋_GB2312" w:cs="仿宋_GB2312"/>
                <w:color w:val="333333"/>
                <w:sz w:val="32"/>
                <w:szCs w:val="32"/>
                <w:shd w:val="clear" w:color="auto" w:fill="FBFDFE"/>
              </w:rPr>
            </w:pPr>
          </w:p>
        </w:tc>
      </w:tr>
      <w:tr w14:paraId="20B0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4" w:type="dxa"/>
            <w:vMerge w:val="continue"/>
            <w:noWrap w:val="0"/>
            <w:vAlign w:val="top"/>
          </w:tcPr>
          <w:p w14:paraId="623B9D41">
            <w:pPr>
              <w:rPr>
                <w:rFonts w:hint="eastAsia" w:ascii="仿宋_GB2312" w:hAnsi="仿宋_GB2312" w:eastAsia="仿宋_GB2312" w:cs="仿宋_GB2312"/>
                <w:color w:val="333333"/>
                <w:sz w:val="24"/>
                <w:shd w:val="clear" w:color="auto" w:fill="FBFDFE"/>
              </w:rPr>
            </w:pPr>
          </w:p>
        </w:tc>
        <w:tc>
          <w:tcPr>
            <w:tcW w:w="5609" w:type="dxa"/>
            <w:noWrap w:val="0"/>
            <w:vAlign w:val="top"/>
          </w:tcPr>
          <w:p w14:paraId="4FE0797B">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（2）医院</w:t>
            </w:r>
            <w:r>
              <w:rPr>
                <w:rFonts w:hint="eastAsia" w:ascii="仿宋_GB2312" w:hAnsi="仿宋_GB2312" w:eastAsia="仿宋_GB2312" w:cs="仿宋_GB2312"/>
                <w:color w:val="333333"/>
                <w:sz w:val="24"/>
                <w:szCs w:val="24"/>
                <w:shd w:val="clear" w:color="auto" w:fill="FBFDFE"/>
                <w:lang w:eastAsia="zh-CN"/>
              </w:rPr>
              <w:t>配镜</w:t>
            </w:r>
            <w:r>
              <w:rPr>
                <w:rFonts w:hint="eastAsia" w:ascii="仿宋_GB2312" w:hAnsi="仿宋_GB2312" w:eastAsia="仿宋_GB2312" w:cs="仿宋_GB2312"/>
                <w:color w:val="333333"/>
                <w:sz w:val="24"/>
                <w:szCs w:val="24"/>
                <w:shd w:val="clear" w:color="auto" w:fill="FBFDFE"/>
              </w:rPr>
              <w:t>中心</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方经营所产生的电费，水费等</w:t>
            </w:r>
            <w:r>
              <w:rPr>
                <w:rFonts w:hint="eastAsia" w:ascii="仿宋_GB2312" w:hAnsi="仿宋_GB2312" w:eastAsia="仿宋_GB2312" w:cs="仿宋_GB2312"/>
                <w:color w:val="333333"/>
                <w:sz w:val="24"/>
                <w:szCs w:val="24"/>
                <w:shd w:val="clear" w:color="auto" w:fill="FBFDFE"/>
                <w:lang w:eastAsia="zh-CN"/>
              </w:rPr>
              <w:t>由受让</w:t>
            </w:r>
            <w:r>
              <w:rPr>
                <w:rFonts w:hint="eastAsia" w:ascii="仿宋_GB2312" w:hAnsi="仿宋_GB2312" w:eastAsia="仿宋_GB2312" w:cs="仿宋_GB2312"/>
                <w:color w:val="333333"/>
                <w:sz w:val="24"/>
                <w:szCs w:val="24"/>
                <w:shd w:val="clear" w:color="auto" w:fill="FBFDFE"/>
              </w:rPr>
              <w:t>方承担。</w:t>
            </w:r>
          </w:p>
        </w:tc>
        <w:tc>
          <w:tcPr>
            <w:tcW w:w="2400" w:type="dxa"/>
            <w:noWrap w:val="0"/>
            <w:vAlign w:val="top"/>
          </w:tcPr>
          <w:p w14:paraId="23665410">
            <w:pPr>
              <w:rPr>
                <w:rFonts w:ascii="仿宋_GB2312" w:hAnsi="仿宋_GB2312" w:eastAsia="仿宋_GB2312" w:cs="仿宋_GB2312"/>
                <w:color w:val="333333"/>
                <w:sz w:val="32"/>
                <w:szCs w:val="32"/>
                <w:shd w:val="clear" w:color="auto" w:fill="FBFDFE"/>
              </w:rPr>
            </w:pPr>
          </w:p>
        </w:tc>
        <w:tc>
          <w:tcPr>
            <w:tcW w:w="1036" w:type="dxa"/>
            <w:noWrap w:val="0"/>
            <w:vAlign w:val="top"/>
          </w:tcPr>
          <w:p w14:paraId="17944828">
            <w:pPr>
              <w:rPr>
                <w:rFonts w:ascii="仿宋_GB2312" w:hAnsi="仿宋_GB2312" w:eastAsia="仿宋_GB2312" w:cs="仿宋_GB2312"/>
                <w:color w:val="333333"/>
                <w:sz w:val="32"/>
                <w:szCs w:val="32"/>
                <w:shd w:val="clear" w:color="auto" w:fill="FBFDFE"/>
              </w:rPr>
            </w:pPr>
          </w:p>
        </w:tc>
      </w:tr>
      <w:tr w14:paraId="774C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74" w:type="dxa"/>
            <w:vMerge w:val="continue"/>
            <w:noWrap w:val="0"/>
            <w:vAlign w:val="top"/>
          </w:tcPr>
          <w:p w14:paraId="62D5CD70">
            <w:pPr>
              <w:rPr>
                <w:rFonts w:hint="eastAsia" w:ascii="仿宋_GB2312" w:hAnsi="仿宋_GB2312" w:eastAsia="仿宋_GB2312" w:cs="仿宋_GB2312"/>
                <w:color w:val="333333"/>
                <w:sz w:val="24"/>
                <w:shd w:val="clear" w:color="auto" w:fill="FBFDFE"/>
              </w:rPr>
            </w:pPr>
          </w:p>
        </w:tc>
        <w:tc>
          <w:tcPr>
            <w:tcW w:w="5609" w:type="dxa"/>
            <w:noWrap w:val="0"/>
            <w:vAlign w:val="top"/>
          </w:tcPr>
          <w:p w14:paraId="5BAC5F59">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（3）</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方提供产品必须是符合国家标准的合格产品，做到产品质量过关、价格优廉、患者满意，商品价格标签执行一品一签，张贴在商品对应位置。</w:t>
            </w:r>
          </w:p>
        </w:tc>
        <w:tc>
          <w:tcPr>
            <w:tcW w:w="2400" w:type="dxa"/>
            <w:noWrap w:val="0"/>
            <w:vAlign w:val="top"/>
          </w:tcPr>
          <w:p w14:paraId="0B8062AA">
            <w:pPr>
              <w:rPr>
                <w:rFonts w:ascii="仿宋_GB2312" w:hAnsi="仿宋_GB2312" w:eastAsia="仿宋_GB2312" w:cs="仿宋_GB2312"/>
                <w:color w:val="333333"/>
                <w:sz w:val="32"/>
                <w:szCs w:val="32"/>
                <w:shd w:val="clear" w:color="auto" w:fill="FBFDFE"/>
              </w:rPr>
            </w:pPr>
          </w:p>
        </w:tc>
        <w:tc>
          <w:tcPr>
            <w:tcW w:w="1036" w:type="dxa"/>
            <w:noWrap w:val="0"/>
            <w:vAlign w:val="top"/>
          </w:tcPr>
          <w:p w14:paraId="48B44B06">
            <w:pPr>
              <w:rPr>
                <w:rFonts w:ascii="仿宋_GB2312" w:hAnsi="仿宋_GB2312" w:eastAsia="仿宋_GB2312" w:cs="仿宋_GB2312"/>
                <w:color w:val="333333"/>
                <w:sz w:val="32"/>
                <w:szCs w:val="32"/>
                <w:shd w:val="clear" w:color="auto" w:fill="FBFDFE"/>
              </w:rPr>
            </w:pPr>
          </w:p>
        </w:tc>
      </w:tr>
      <w:tr w14:paraId="3C74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74" w:type="dxa"/>
            <w:vMerge w:val="continue"/>
            <w:noWrap w:val="0"/>
            <w:vAlign w:val="top"/>
          </w:tcPr>
          <w:p w14:paraId="30AD24BF">
            <w:pPr>
              <w:rPr>
                <w:rFonts w:hint="eastAsia" w:ascii="仿宋_GB2312" w:hAnsi="仿宋_GB2312" w:eastAsia="仿宋_GB2312" w:cs="仿宋_GB2312"/>
                <w:color w:val="333333"/>
                <w:sz w:val="24"/>
                <w:shd w:val="clear" w:color="auto" w:fill="FBFDFE"/>
              </w:rPr>
            </w:pPr>
          </w:p>
        </w:tc>
        <w:tc>
          <w:tcPr>
            <w:tcW w:w="5609" w:type="dxa"/>
            <w:noWrap w:val="0"/>
            <w:vAlign w:val="top"/>
          </w:tcPr>
          <w:p w14:paraId="008F6D3F">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（4）征得院方同意后，</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方可对</w:t>
            </w:r>
            <w:r>
              <w:rPr>
                <w:rFonts w:hint="eastAsia" w:ascii="仿宋_GB2312" w:hAnsi="仿宋_GB2312" w:eastAsia="仿宋_GB2312" w:cs="仿宋_GB2312"/>
                <w:color w:val="333333"/>
                <w:sz w:val="24"/>
                <w:szCs w:val="24"/>
                <w:shd w:val="clear" w:color="auto" w:fill="FBFDFE"/>
                <w:lang w:eastAsia="zh-CN"/>
              </w:rPr>
              <w:t>配镜</w:t>
            </w:r>
            <w:r>
              <w:rPr>
                <w:rFonts w:hint="eastAsia" w:ascii="仿宋_GB2312" w:hAnsi="仿宋_GB2312" w:eastAsia="仿宋_GB2312" w:cs="仿宋_GB2312"/>
                <w:color w:val="333333"/>
                <w:sz w:val="24"/>
                <w:szCs w:val="24"/>
                <w:shd w:val="clear" w:color="auto" w:fill="FBFDFE"/>
              </w:rPr>
              <w:t>中心进行装修并承担费用。装修前应将装修方案报院方同意（备案），并不得改变房屋主体结构。合同结束，</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方退</w:t>
            </w:r>
            <w:r>
              <w:rPr>
                <w:rFonts w:hint="eastAsia" w:ascii="仿宋_GB2312" w:hAnsi="仿宋_GB2312" w:eastAsia="仿宋_GB2312" w:cs="仿宋_GB2312"/>
                <w:color w:val="333333"/>
                <w:sz w:val="24"/>
                <w:szCs w:val="24"/>
                <w:shd w:val="clear" w:color="auto" w:fill="FBFDFE"/>
                <w:lang w:eastAsia="zh-CN"/>
              </w:rPr>
              <w:t>出</w:t>
            </w:r>
            <w:r>
              <w:rPr>
                <w:rFonts w:hint="eastAsia" w:ascii="仿宋_GB2312" w:hAnsi="仿宋_GB2312" w:eastAsia="仿宋_GB2312" w:cs="仿宋_GB2312"/>
                <w:color w:val="333333"/>
                <w:sz w:val="24"/>
                <w:szCs w:val="24"/>
                <w:shd w:val="clear" w:color="auto" w:fill="FBFDFE"/>
              </w:rPr>
              <w:t>，负责清理相关建筑装修垃圾，恢复原装修状况。</w:t>
            </w:r>
          </w:p>
        </w:tc>
        <w:tc>
          <w:tcPr>
            <w:tcW w:w="2400" w:type="dxa"/>
            <w:noWrap w:val="0"/>
            <w:vAlign w:val="top"/>
          </w:tcPr>
          <w:p w14:paraId="166530AC">
            <w:pPr>
              <w:rPr>
                <w:rFonts w:ascii="仿宋_GB2312" w:hAnsi="仿宋_GB2312" w:eastAsia="仿宋_GB2312" w:cs="仿宋_GB2312"/>
                <w:color w:val="333333"/>
                <w:sz w:val="32"/>
                <w:szCs w:val="32"/>
                <w:shd w:val="clear" w:color="auto" w:fill="FBFDFE"/>
              </w:rPr>
            </w:pPr>
          </w:p>
        </w:tc>
        <w:tc>
          <w:tcPr>
            <w:tcW w:w="1036" w:type="dxa"/>
            <w:noWrap w:val="0"/>
            <w:vAlign w:val="top"/>
          </w:tcPr>
          <w:p w14:paraId="13E51014">
            <w:pPr>
              <w:rPr>
                <w:rFonts w:ascii="仿宋_GB2312" w:hAnsi="仿宋_GB2312" w:eastAsia="仿宋_GB2312" w:cs="仿宋_GB2312"/>
                <w:color w:val="333333"/>
                <w:sz w:val="32"/>
                <w:szCs w:val="32"/>
                <w:shd w:val="clear" w:color="auto" w:fill="FBFDFE"/>
              </w:rPr>
            </w:pPr>
          </w:p>
        </w:tc>
      </w:tr>
      <w:tr w14:paraId="0940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74" w:type="dxa"/>
            <w:vMerge w:val="continue"/>
            <w:noWrap w:val="0"/>
            <w:vAlign w:val="top"/>
          </w:tcPr>
          <w:p w14:paraId="1B90B384">
            <w:pPr>
              <w:rPr>
                <w:rFonts w:hint="eastAsia" w:ascii="仿宋_GB2312" w:hAnsi="仿宋_GB2312" w:eastAsia="仿宋_GB2312" w:cs="仿宋_GB2312"/>
                <w:color w:val="333333"/>
                <w:sz w:val="24"/>
                <w:shd w:val="clear" w:color="auto" w:fill="FBFDFE"/>
              </w:rPr>
            </w:pPr>
          </w:p>
        </w:tc>
        <w:tc>
          <w:tcPr>
            <w:tcW w:w="5609" w:type="dxa"/>
            <w:noWrap w:val="0"/>
            <w:vAlign w:val="top"/>
          </w:tcPr>
          <w:p w14:paraId="3CE37243">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（5）</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方根据业务需要，开拓市场、制订对外宣传计划，所需费用由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承担，宣传内容、材料需经院方和相关主管单位审批同意，严格遵守国家的政策法规及广告管理规定。</w:t>
            </w:r>
          </w:p>
        </w:tc>
        <w:tc>
          <w:tcPr>
            <w:tcW w:w="2400" w:type="dxa"/>
            <w:noWrap w:val="0"/>
            <w:vAlign w:val="top"/>
          </w:tcPr>
          <w:p w14:paraId="54BF9D9E">
            <w:pPr>
              <w:rPr>
                <w:rFonts w:ascii="仿宋_GB2312" w:hAnsi="仿宋_GB2312" w:eastAsia="仿宋_GB2312" w:cs="仿宋_GB2312"/>
                <w:color w:val="333333"/>
                <w:sz w:val="32"/>
                <w:szCs w:val="32"/>
                <w:shd w:val="clear" w:color="auto" w:fill="FBFDFE"/>
              </w:rPr>
            </w:pPr>
          </w:p>
        </w:tc>
        <w:tc>
          <w:tcPr>
            <w:tcW w:w="1036" w:type="dxa"/>
            <w:noWrap w:val="0"/>
            <w:vAlign w:val="top"/>
          </w:tcPr>
          <w:p w14:paraId="459D3984">
            <w:pPr>
              <w:rPr>
                <w:rFonts w:ascii="仿宋_GB2312" w:hAnsi="仿宋_GB2312" w:eastAsia="仿宋_GB2312" w:cs="仿宋_GB2312"/>
                <w:color w:val="333333"/>
                <w:sz w:val="32"/>
                <w:szCs w:val="32"/>
                <w:shd w:val="clear" w:color="auto" w:fill="FBFDFE"/>
              </w:rPr>
            </w:pPr>
          </w:p>
        </w:tc>
      </w:tr>
      <w:tr w14:paraId="62E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4" w:type="dxa"/>
            <w:vMerge w:val="continue"/>
            <w:noWrap w:val="0"/>
            <w:vAlign w:val="top"/>
          </w:tcPr>
          <w:p w14:paraId="10B268CB">
            <w:pPr>
              <w:rPr>
                <w:rFonts w:hint="eastAsia" w:ascii="仿宋_GB2312" w:hAnsi="仿宋_GB2312" w:eastAsia="仿宋_GB2312" w:cs="仿宋_GB2312"/>
                <w:color w:val="333333"/>
                <w:sz w:val="24"/>
                <w:shd w:val="clear" w:color="auto" w:fill="FBFDFE"/>
              </w:rPr>
            </w:pPr>
          </w:p>
        </w:tc>
        <w:tc>
          <w:tcPr>
            <w:tcW w:w="5609" w:type="dxa"/>
            <w:noWrap w:val="0"/>
            <w:vAlign w:val="top"/>
          </w:tcPr>
          <w:p w14:paraId="245D5B65">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（6）</w:t>
            </w:r>
            <w:r>
              <w:rPr>
                <w:rFonts w:hint="eastAsia" w:ascii="仿宋_GB2312" w:hAnsi="仿宋_GB2312" w:eastAsia="仿宋_GB2312" w:cs="仿宋_GB2312"/>
                <w:color w:val="333333"/>
                <w:sz w:val="24"/>
                <w:szCs w:val="24"/>
                <w:shd w:val="clear" w:color="auto" w:fill="FBFDFE"/>
                <w:lang w:eastAsia="zh-CN"/>
              </w:rPr>
              <w:t>受让</w:t>
            </w:r>
            <w:r>
              <w:rPr>
                <w:rFonts w:hint="eastAsia" w:ascii="仿宋_GB2312" w:hAnsi="仿宋_GB2312" w:eastAsia="仿宋_GB2312" w:cs="仿宋_GB2312"/>
                <w:color w:val="333333"/>
                <w:sz w:val="24"/>
                <w:szCs w:val="24"/>
                <w:shd w:val="clear" w:color="auto" w:fill="FBFDFE"/>
              </w:rPr>
              <w:t>方所雇人员，费用由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负责，并应符合国家规定的用工条件，工资标准按国家有关规定执行。</w:t>
            </w:r>
          </w:p>
        </w:tc>
        <w:tc>
          <w:tcPr>
            <w:tcW w:w="2400" w:type="dxa"/>
            <w:noWrap w:val="0"/>
            <w:vAlign w:val="top"/>
          </w:tcPr>
          <w:p w14:paraId="6100EF24">
            <w:pPr>
              <w:rPr>
                <w:rFonts w:ascii="仿宋_GB2312" w:hAnsi="仿宋_GB2312" w:eastAsia="仿宋_GB2312" w:cs="仿宋_GB2312"/>
                <w:color w:val="333333"/>
                <w:sz w:val="32"/>
                <w:szCs w:val="32"/>
                <w:shd w:val="clear" w:color="auto" w:fill="FBFDFE"/>
              </w:rPr>
            </w:pPr>
          </w:p>
        </w:tc>
        <w:tc>
          <w:tcPr>
            <w:tcW w:w="1036" w:type="dxa"/>
            <w:noWrap w:val="0"/>
            <w:vAlign w:val="top"/>
          </w:tcPr>
          <w:p w14:paraId="29081742">
            <w:pPr>
              <w:rPr>
                <w:rFonts w:ascii="仿宋_GB2312" w:hAnsi="仿宋_GB2312" w:eastAsia="仿宋_GB2312" w:cs="仿宋_GB2312"/>
                <w:color w:val="333333"/>
                <w:sz w:val="32"/>
                <w:szCs w:val="32"/>
                <w:shd w:val="clear" w:color="auto" w:fill="FBFDFE"/>
              </w:rPr>
            </w:pPr>
          </w:p>
        </w:tc>
      </w:tr>
      <w:tr w14:paraId="58AB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5D32A636">
            <w:pPr>
              <w:rPr>
                <w:rFonts w:hint="eastAsia" w:ascii="仿宋_GB2312" w:hAnsi="仿宋_GB2312" w:eastAsia="仿宋_GB2312" w:cs="仿宋_GB2312"/>
                <w:color w:val="333333"/>
                <w:sz w:val="24"/>
                <w:shd w:val="clear" w:color="auto" w:fill="FBFDFE"/>
              </w:rPr>
            </w:pPr>
          </w:p>
        </w:tc>
        <w:tc>
          <w:tcPr>
            <w:tcW w:w="5609" w:type="dxa"/>
            <w:noWrap w:val="0"/>
            <w:vAlign w:val="top"/>
          </w:tcPr>
          <w:p w14:paraId="1FF600D1">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（7）</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派驻医院的管理人员具有一定的沟通、管理能力，</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须对管理人员管理并定期考核，以保证服务质量。</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所有工作人员要持有效健康证及相应岗位技术资格证上岗，</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必须定期向医院递交人员花名册，以便核实工作人员健康证及技术资格证书等事宜。卫生检疫、工作人员体检等费用均由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自理。</w:t>
            </w:r>
          </w:p>
        </w:tc>
        <w:tc>
          <w:tcPr>
            <w:tcW w:w="2400" w:type="dxa"/>
            <w:noWrap w:val="0"/>
            <w:vAlign w:val="top"/>
          </w:tcPr>
          <w:p w14:paraId="6C460DD1">
            <w:pPr>
              <w:rPr>
                <w:rFonts w:ascii="仿宋_GB2312" w:hAnsi="仿宋_GB2312" w:eastAsia="仿宋_GB2312" w:cs="仿宋_GB2312"/>
                <w:color w:val="333333"/>
                <w:sz w:val="32"/>
                <w:szCs w:val="32"/>
                <w:shd w:val="clear" w:color="auto" w:fill="FBFDFE"/>
              </w:rPr>
            </w:pPr>
          </w:p>
        </w:tc>
        <w:tc>
          <w:tcPr>
            <w:tcW w:w="1036" w:type="dxa"/>
            <w:noWrap w:val="0"/>
            <w:vAlign w:val="top"/>
          </w:tcPr>
          <w:p w14:paraId="7B13A7B0">
            <w:pPr>
              <w:rPr>
                <w:rFonts w:ascii="仿宋_GB2312" w:hAnsi="仿宋_GB2312" w:eastAsia="仿宋_GB2312" w:cs="仿宋_GB2312"/>
                <w:color w:val="333333"/>
                <w:sz w:val="32"/>
                <w:szCs w:val="32"/>
                <w:shd w:val="clear" w:color="auto" w:fill="FBFDFE"/>
              </w:rPr>
            </w:pPr>
          </w:p>
        </w:tc>
      </w:tr>
      <w:tr w14:paraId="6489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6621551A">
            <w:pPr>
              <w:rPr>
                <w:rFonts w:hint="eastAsia" w:ascii="仿宋_GB2312" w:hAnsi="仿宋_GB2312" w:eastAsia="仿宋_GB2312" w:cs="仿宋_GB2312"/>
                <w:color w:val="333333"/>
                <w:sz w:val="24"/>
                <w:shd w:val="clear" w:color="auto" w:fill="FBFDFE"/>
              </w:rPr>
            </w:pPr>
          </w:p>
        </w:tc>
        <w:tc>
          <w:tcPr>
            <w:tcW w:w="5609" w:type="dxa"/>
            <w:noWrap w:val="0"/>
            <w:vAlign w:val="top"/>
          </w:tcPr>
          <w:p w14:paraId="3FC7AAE1">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（8）</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经营项目应符合医院院感、三甲医院评审等对医院的标准要求，并配合医院的各项检查。对于医院提出的整改意见，</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应积极听取并采取有效措施及时整改。</w:t>
            </w:r>
          </w:p>
        </w:tc>
        <w:tc>
          <w:tcPr>
            <w:tcW w:w="2400" w:type="dxa"/>
            <w:noWrap w:val="0"/>
            <w:vAlign w:val="top"/>
          </w:tcPr>
          <w:p w14:paraId="7305C296">
            <w:pPr>
              <w:rPr>
                <w:rFonts w:ascii="仿宋_GB2312" w:hAnsi="仿宋_GB2312" w:eastAsia="仿宋_GB2312" w:cs="仿宋_GB2312"/>
                <w:color w:val="333333"/>
                <w:sz w:val="32"/>
                <w:szCs w:val="32"/>
                <w:shd w:val="clear" w:color="auto" w:fill="FBFDFE"/>
              </w:rPr>
            </w:pPr>
          </w:p>
        </w:tc>
        <w:tc>
          <w:tcPr>
            <w:tcW w:w="1036" w:type="dxa"/>
            <w:noWrap w:val="0"/>
            <w:vAlign w:val="top"/>
          </w:tcPr>
          <w:p w14:paraId="089F7C78">
            <w:pPr>
              <w:rPr>
                <w:rFonts w:ascii="仿宋_GB2312" w:hAnsi="仿宋_GB2312" w:eastAsia="仿宋_GB2312" w:cs="仿宋_GB2312"/>
                <w:color w:val="333333"/>
                <w:sz w:val="32"/>
                <w:szCs w:val="32"/>
                <w:shd w:val="clear" w:color="auto" w:fill="FBFDFE"/>
              </w:rPr>
            </w:pPr>
          </w:p>
        </w:tc>
      </w:tr>
      <w:tr w14:paraId="482F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43459508">
            <w:pPr>
              <w:rPr>
                <w:rFonts w:hint="eastAsia" w:ascii="仿宋_GB2312" w:hAnsi="仿宋_GB2312" w:eastAsia="仿宋_GB2312" w:cs="仿宋_GB2312"/>
                <w:color w:val="333333"/>
                <w:sz w:val="24"/>
                <w:shd w:val="clear" w:color="auto" w:fill="FBFDFE"/>
              </w:rPr>
            </w:pPr>
          </w:p>
        </w:tc>
        <w:tc>
          <w:tcPr>
            <w:tcW w:w="5609" w:type="dxa"/>
            <w:noWrap w:val="0"/>
            <w:vAlign w:val="top"/>
          </w:tcPr>
          <w:p w14:paraId="791BF9B4">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（9）</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负责提供配镜业务所需的各种设备、设施和配套等，并自行负责上述设备及配套的维护、检修、保养等；由此产生的一切费用均由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负责。</w:t>
            </w:r>
          </w:p>
        </w:tc>
        <w:tc>
          <w:tcPr>
            <w:tcW w:w="2400" w:type="dxa"/>
            <w:noWrap w:val="0"/>
            <w:vAlign w:val="top"/>
          </w:tcPr>
          <w:p w14:paraId="6A87241C">
            <w:pPr>
              <w:rPr>
                <w:rFonts w:ascii="仿宋_GB2312" w:hAnsi="仿宋_GB2312" w:eastAsia="仿宋_GB2312" w:cs="仿宋_GB2312"/>
                <w:color w:val="333333"/>
                <w:sz w:val="32"/>
                <w:szCs w:val="32"/>
                <w:shd w:val="clear" w:color="auto" w:fill="FBFDFE"/>
              </w:rPr>
            </w:pPr>
          </w:p>
        </w:tc>
        <w:tc>
          <w:tcPr>
            <w:tcW w:w="1036" w:type="dxa"/>
            <w:noWrap w:val="0"/>
            <w:vAlign w:val="top"/>
          </w:tcPr>
          <w:p w14:paraId="021EFA24">
            <w:pPr>
              <w:rPr>
                <w:rFonts w:ascii="仿宋_GB2312" w:hAnsi="仿宋_GB2312" w:eastAsia="仿宋_GB2312" w:cs="仿宋_GB2312"/>
                <w:color w:val="333333"/>
                <w:sz w:val="32"/>
                <w:szCs w:val="32"/>
                <w:shd w:val="clear" w:color="auto" w:fill="FBFDFE"/>
              </w:rPr>
            </w:pPr>
          </w:p>
        </w:tc>
      </w:tr>
      <w:tr w14:paraId="57EC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39503FBF">
            <w:pPr>
              <w:rPr>
                <w:rFonts w:hint="eastAsia" w:ascii="仿宋_GB2312" w:hAnsi="仿宋_GB2312" w:eastAsia="仿宋_GB2312" w:cs="仿宋_GB2312"/>
                <w:color w:val="333333"/>
                <w:sz w:val="24"/>
                <w:shd w:val="clear" w:color="auto" w:fill="FBFDFE"/>
              </w:rPr>
            </w:pPr>
          </w:p>
        </w:tc>
        <w:tc>
          <w:tcPr>
            <w:tcW w:w="5609" w:type="dxa"/>
            <w:noWrap w:val="0"/>
            <w:vAlign w:val="top"/>
          </w:tcPr>
          <w:p w14:paraId="4FE4119F">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（10）</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派驻工作人员承担学生视力筛查公益项目，由此产生的交通费、餐饮住宿费、仪器设备费用、劳务费用等，均由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承担。</w:t>
            </w:r>
          </w:p>
        </w:tc>
        <w:tc>
          <w:tcPr>
            <w:tcW w:w="2400" w:type="dxa"/>
            <w:noWrap w:val="0"/>
            <w:vAlign w:val="top"/>
          </w:tcPr>
          <w:p w14:paraId="19522092">
            <w:pPr>
              <w:rPr>
                <w:rFonts w:ascii="仿宋_GB2312" w:hAnsi="仿宋_GB2312" w:eastAsia="仿宋_GB2312" w:cs="仿宋_GB2312"/>
                <w:color w:val="333333"/>
                <w:sz w:val="32"/>
                <w:szCs w:val="32"/>
                <w:shd w:val="clear" w:color="auto" w:fill="FBFDFE"/>
              </w:rPr>
            </w:pPr>
          </w:p>
        </w:tc>
        <w:tc>
          <w:tcPr>
            <w:tcW w:w="1036" w:type="dxa"/>
            <w:noWrap w:val="0"/>
            <w:vAlign w:val="top"/>
          </w:tcPr>
          <w:p w14:paraId="05CC5CB1">
            <w:pPr>
              <w:rPr>
                <w:rFonts w:ascii="仿宋_GB2312" w:hAnsi="仿宋_GB2312" w:eastAsia="仿宋_GB2312" w:cs="仿宋_GB2312"/>
                <w:color w:val="333333"/>
                <w:sz w:val="32"/>
                <w:szCs w:val="32"/>
                <w:shd w:val="clear" w:color="auto" w:fill="FBFDFE"/>
              </w:rPr>
            </w:pPr>
          </w:p>
        </w:tc>
      </w:tr>
      <w:tr w14:paraId="482F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3D6C8055">
            <w:pPr>
              <w:rPr>
                <w:rFonts w:hint="eastAsia" w:ascii="仿宋_GB2312" w:hAnsi="仿宋_GB2312" w:eastAsia="仿宋_GB2312" w:cs="仿宋_GB2312"/>
                <w:color w:val="333333"/>
                <w:sz w:val="24"/>
                <w:shd w:val="clear" w:color="auto" w:fill="FBFDFE"/>
              </w:rPr>
            </w:pPr>
          </w:p>
        </w:tc>
        <w:tc>
          <w:tcPr>
            <w:tcW w:w="5609" w:type="dxa"/>
            <w:noWrap w:val="0"/>
            <w:vAlign w:val="top"/>
          </w:tcPr>
          <w:p w14:paraId="788FF17A">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（11）</w:t>
            </w:r>
            <w:r>
              <w:rPr>
                <w:rFonts w:hint="eastAsia" w:ascii="仿宋_GB2312" w:hAnsi="仿宋_GB2312" w:eastAsia="仿宋_GB2312" w:cs="仿宋_GB2312"/>
                <w:color w:val="333333"/>
                <w:sz w:val="24"/>
                <w:szCs w:val="24"/>
                <w:shd w:val="clear" w:color="auto" w:fill="FBFDFE"/>
                <w:lang w:eastAsia="zh-CN"/>
              </w:rPr>
              <w:t>受让经营</w:t>
            </w:r>
            <w:r>
              <w:rPr>
                <w:rFonts w:hint="eastAsia" w:ascii="仿宋_GB2312" w:hAnsi="仿宋_GB2312" w:eastAsia="仿宋_GB2312" w:cs="仿宋_GB2312"/>
                <w:color w:val="333333"/>
                <w:sz w:val="24"/>
                <w:szCs w:val="24"/>
                <w:shd w:val="clear" w:color="auto" w:fill="FBFDFE"/>
              </w:rPr>
              <w:t>期间，</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应建立完善的屈光档案管理系统、视力筛查系统、视觉功能检查软件系统、视觉训练软件等互联网信息系统;并无条件与院方共享。</w:t>
            </w:r>
          </w:p>
        </w:tc>
        <w:tc>
          <w:tcPr>
            <w:tcW w:w="2400" w:type="dxa"/>
            <w:noWrap w:val="0"/>
            <w:vAlign w:val="top"/>
          </w:tcPr>
          <w:p w14:paraId="28F15429">
            <w:pPr>
              <w:rPr>
                <w:rFonts w:ascii="仿宋_GB2312" w:hAnsi="仿宋_GB2312" w:eastAsia="仿宋_GB2312" w:cs="仿宋_GB2312"/>
                <w:color w:val="333333"/>
                <w:sz w:val="32"/>
                <w:szCs w:val="32"/>
                <w:shd w:val="clear" w:color="auto" w:fill="FBFDFE"/>
              </w:rPr>
            </w:pPr>
          </w:p>
        </w:tc>
        <w:tc>
          <w:tcPr>
            <w:tcW w:w="1036" w:type="dxa"/>
            <w:noWrap w:val="0"/>
            <w:vAlign w:val="top"/>
          </w:tcPr>
          <w:p w14:paraId="37110C7C">
            <w:pPr>
              <w:rPr>
                <w:rFonts w:ascii="仿宋_GB2312" w:hAnsi="仿宋_GB2312" w:eastAsia="仿宋_GB2312" w:cs="仿宋_GB2312"/>
                <w:color w:val="333333"/>
                <w:sz w:val="32"/>
                <w:szCs w:val="32"/>
                <w:shd w:val="clear" w:color="auto" w:fill="FBFDFE"/>
              </w:rPr>
            </w:pPr>
          </w:p>
        </w:tc>
      </w:tr>
      <w:tr w14:paraId="3ECB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44D7987B">
            <w:pPr>
              <w:rPr>
                <w:rFonts w:hint="eastAsia" w:ascii="仿宋_GB2312" w:hAnsi="仿宋_GB2312" w:eastAsia="仿宋_GB2312" w:cs="仿宋_GB2312"/>
                <w:color w:val="333333"/>
                <w:sz w:val="24"/>
                <w:shd w:val="clear" w:color="auto" w:fill="FBFDFE"/>
              </w:rPr>
            </w:pPr>
          </w:p>
        </w:tc>
        <w:tc>
          <w:tcPr>
            <w:tcW w:w="5609" w:type="dxa"/>
            <w:noWrap w:val="0"/>
            <w:vAlign w:val="top"/>
          </w:tcPr>
          <w:p w14:paraId="6CC99AA5">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（12）遇突发事件或安全检查时，</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必须配合有关部门执行任务，并指定专人协助工作，直至完成。</w:t>
            </w:r>
          </w:p>
        </w:tc>
        <w:tc>
          <w:tcPr>
            <w:tcW w:w="2400" w:type="dxa"/>
            <w:noWrap w:val="0"/>
            <w:vAlign w:val="top"/>
          </w:tcPr>
          <w:p w14:paraId="5EED9437">
            <w:pPr>
              <w:rPr>
                <w:rFonts w:ascii="仿宋_GB2312" w:hAnsi="仿宋_GB2312" w:eastAsia="仿宋_GB2312" w:cs="仿宋_GB2312"/>
                <w:color w:val="333333"/>
                <w:sz w:val="32"/>
                <w:szCs w:val="32"/>
                <w:shd w:val="clear" w:color="auto" w:fill="FBFDFE"/>
              </w:rPr>
            </w:pPr>
          </w:p>
        </w:tc>
        <w:tc>
          <w:tcPr>
            <w:tcW w:w="1036" w:type="dxa"/>
            <w:noWrap w:val="0"/>
            <w:vAlign w:val="top"/>
          </w:tcPr>
          <w:p w14:paraId="26247DB2">
            <w:pPr>
              <w:rPr>
                <w:rFonts w:ascii="仿宋_GB2312" w:hAnsi="仿宋_GB2312" w:eastAsia="仿宋_GB2312" w:cs="仿宋_GB2312"/>
                <w:color w:val="333333"/>
                <w:sz w:val="32"/>
                <w:szCs w:val="32"/>
                <w:shd w:val="clear" w:color="auto" w:fill="FBFDFE"/>
              </w:rPr>
            </w:pPr>
          </w:p>
        </w:tc>
      </w:tr>
      <w:tr w14:paraId="4CEA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4" w:type="dxa"/>
            <w:vMerge w:val="continue"/>
            <w:noWrap w:val="0"/>
            <w:vAlign w:val="top"/>
          </w:tcPr>
          <w:p w14:paraId="1FBD1A79">
            <w:pPr>
              <w:rPr>
                <w:rFonts w:hint="eastAsia" w:ascii="仿宋_GB2312" w:hAnsi="仿宋_GB2312" w:eastAsia="仿宋_GB2312" w:cs="仿宋_GB2312"/>
                <w:color w:val="333333"/>
                <w:sz w:val="24"/>
                <w:shd w:val="clear" w:color="auto" w:fill="FBFDFE"/>
              </w:rPr>
            </w:pPr>
          </w:p>
        </w:tc>
        <w:tc>
          <w:tcPr>
            <w:tcW w:w="5609" w:type="dxa"/>
            <w:noWrap w:val="0"/>
            <w:vAlign w:val="top"/>
          </w:tcPr>
          <w:p w14:paraId="46BAE873">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（13）</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应遵守医院的规章制度，工作人员在工作时间应穿工作服并佩戴工作牌，积极参加医院的各项培训，爱护医院的设施设备，服从医院主管部门的管理和监督，具有沟通和协调能力，对待患者及家属热情，不与患者或家属吵架，能正确及时解决经营中的各种矛盾和冲突。</w:t>
            </w:r>
          </w:p>
        </w:tc>
        <w:tc>
          <w:tcPr>
            <w:tcW w:w="2400" w:type="dxa"/>
            <w:noWrap w:val="0"/>
            <w:vAlign w:val="top"/>
          </w:tcPr>
          <w:p w14:paraId="37300D31">
            <w:pPr>
              <w:rPr>
                <w:rFonts w:ascii="仿宋_GB2312" w:hAnsi="仿宋_GB2312" w:eastAsia="仿宋_GB2312" w:cs="仿宋_GB2312"/>
                <w:color w:val="333333"/>
                <w:sz w:val="32"/>
                <w:szCs w:val="32"/>
                <w:shd w:val="clear" w:color="auto" w:fill="FBFDFE"/>
              </w:rPr>
            </w:pPr>
          </w:p>
        </w:tc>
        <w:tc>
          <w:tcPr>
            <w:tcW w:w="1036" w:type="dxa"/>
            <w:noWrap w:val="0"/>
            <w:vAlign w:val="top"/>
          </w:tcPr>
          <w:p w14:paraId="525E3E29">
            <w:pPr>
              <w:rPr>
                <w:rFonts w:ascii="仿宋_GB2312" w:hAnsi="仿宋_GB2312" w:eastAsia="仿宋_GB2312" w:cs="仿宋_GB2312"/>
                <w:color w:val="333333"/>
                <w:sz w:val="32"/>
                <w:szCs w:val="32"/>
                <w:shd w:val="clear" w:color="auto" w:fill="FBFDFE"/>
              </w:rPr>
            </w:pPr>
          </w:p>
        </w:tc>
      </w:tr>
      <w:tr w14:paraId="5D8F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74" w:type="dxa"/>
            <w:vMerge w:val="continue"/>
            <w:noWrap w:val="0"/>
            <w:vAlign w:val="top"/>
          </w:tcPr>
          <w:p w14:paraId="48FE0F9C">
            <w:pPr>
              <w:rPr>
                <w:rFonts w:hint="eastAsia" w:ascii="仿宋_GB2312" w:hAnsi="仿宋_GB2312" w:eastAsia="仿宋_GB2312" w:cs="仿宋_GB2312"/>
                <w:color w:val="333333"/>
                <w:sz w:val="24"/>
                <w:shd w:val="clear" w:color="auto" w:fill="FBFDFE"/>
              </w:rPr>
            </w:pPr>
          </w:p>
        </w:tc>
        <w:tc>
          <w:tcPr>
            <w:tcW w:w="5609" w:type="dxa"/>
            <w:noWrap w:val="0"/>
            <w:vAlign w:val="top"/>
          </w:tcPr>
          <w:p w14:paraId="2231AA9D">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（14）在国家法规允许范围内提供配镜患者的数据，便于医院开展研究。</w:t>
            </w:r>
          </w:p>
        </w:tc>
        <w:tc>
          <w:tcPr>
            <w:tcW w:w="2400" w:type="dxa"/>
            <w:noWrap w:val="0"/>
            <w:vAlign w:val="top"/>
          </w:tcPr>
          <w:p w14:paraId="562A6A76">
            <w:pPr>
              <w:rPr>
                <w:rFonts w:ascii="仿宋_GB2312" w:hAnsi="仿宋_GB2312" w:eastAsia="仿宋_GB2312" w:cs="仿宋_GB2312"/>
                <w:color w:val="333333"/>
                <w:sz w:val="32"/>
                <w:szCs w:val="32"/>
                <w:shd w:val="clear" w:color="auto" w:fill="FBFDFE"/>
              </w:rPr>
            </w:pPr>
          </w:p>
        </w:tc>
        <w:tc>
          <w:tcPr>
            <w:tcW w:w="1036" w:type="dxa"/>
            <w:noWrap w:val="0"/>
            <w:vAlign w:val="top"/>
          </w:tcPr>
          <w:p w14:paraId="5CFDE511">
            <w:pPr>
              <w:rPr>
                <w:rFonts w:ascii="仿宋_GB2312" w:hAnsi="仿宋_GB2312" w:eastAsia="仿宋_GB2312" w:cs="仿宋_GB2312"/>
                <w:color w:val="333333"/>
                <w:sz w:val="32"/>
                <w:szCs w:val="32"/>
                <w:shd w:val="clear" w:color="auto" w:fill="FBFDFE"/>
              </w:rPr>
            </w:pPr>
          </w:p>
        </w:tc>
      </w:tr>
      <w:tr w14:paraId="546A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574" w:type="dxa"/>
            <w:vMerge w:val="continue"/>
            <w:noWrap w:val="0"/>
            <w:vAlign w:val="top"/>
          </w:tcPr>
          <w:p w14:paraId="14FF3EEB">
            <w:pPr>
              <w:rPr>
                <w:rFonts w:hint="eastAsia" w:ascii="仿宋_GB2312" w:hAnsi="仿宋_GB2312" w:eastAsia="仿宋_GB2312" w:cs="仿宋_GB2312"/>
                <w:color w:val="333333"/>
                <w:sz w:val="24"/>
                <w:shd w:val="clear" w:color="auto" w:fill="FBFDFE"/>
              </w:rPr>
            </w:pPr>
          </w:p>
        </w:tc>
        <w:tc>
          <w:tcPr>
            <w:tcW w:w="5609" w:type="dxa"/>
            <w:noWrap w:val="0"/>
            <w:vAlign w:val="top"/>
          </w:tcPr>
          <w:p w14:paraId="0F2D0B2C">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（15）双方如遇不可抗力的原因(地震、水灾、战争、政策因素等)终止本协议，可免除相关责任。</w:t>
            </w:r>
          </w:p>
        </w:tc>
        <w:tc>
          <w:tcPr>
            <w:tcW w:w="2400" w:type="dxa"/>
            <w:noWrap w:val="0"/>
            <w:vAlign w:val="top"/>
          </w:tcPr>
          <w:p w14:paraId="1D46B143">
            <w:pPr>
              <w:rPr>
                <w:rFonts w:ascii="仿宋_GB2312" w:hAnsi="仿宋_GB2312" w:eastAsia="仿宋_GB2312" w:cs="仿宋_GB2312"/>
                <w:color w:val="333333"/>
                <w:sz w:val="32"/>
                <w:szCs w:val="32"/>
                <w:shd w:val="clear" w:color="auto" w:fill="FBFDFE"/>
              </w:rPr>
            </w:pPr>
          </w:p>
        </w:tc>
        <w:tc>
          <w:tcPr>
            <w:tcW w:w="1036" w:type="dxa"/>
            <w:noWrap w:val="0"/>
            <w:vAlign w:val="top"/>
          </w:tcPr>
          <w:p w14:paraId="6DBFC6D6">
            <w:pPr>
              <w:rPr>
                <w:rFonts w:ascii="仿宋_GB2312" w:hAnsi="仿宋_GB2312" w:eastAsia="仿宋_GB2312" w:cs="仿宋_GB2312"/>
                <w:color w:val="333333"/>
                <w:sz w:val="32"/>
                <w:szCs w:val="32"/>
                <w:shd w:val="clear" w:color="auto" w:fill="FBFDFE"/>
              </w:rPr>
            </w:pPr>
          </w:p>
        </w:tc>
      </w:tr>
      <w:tr w14:paraId="41B6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74" w:type="dxa"/>
            <w:vMerge w:val="continue"/>
            <w:noWrap w:val="0"/>
            <w:vAlign w:val="top"/>
          </w:tcPr>
          <w:p w14:paraId="26C479D1">
            <w:pPr>
              <w:rPr>
                <w:rFonts w:hint="eastAsia" w:ascii="仿宋_GB2312" w:hAnsi="仿宋_GB2312" w:eastAsia="仿宋_GB2312" w:cs="仿宋_GB2312"/>
                <w:color w:val="333333"/>
                <w:sz w:val="24"/>
                <w:shd w:val="clear" w:color="auto" w:fill="FBFDFE"/>
              </w:rPr>
            </w:pPr>
          </w:p>
        </w:tc>
        <w:tc>
          <w:tcPr>
            <w:tcW w:w="5609" w:type="dxa"/>
            <w:noWrap w:val="0"/>
            <w:vAlign w:val="top"/>
          </w:tcPr>
          <w:p w14:paraId="7CBD09C1">
            <w:pPr>
              <w:pStyle w:val="3"/>
              <w:widowControl/>
              <w:spacing w:before="156" w:beforeLines="50" w:after="156" w:afterLines="50"/>
              <w:rPr>
                <w:rFonts w:hint="eastAsia" w:ascii="仿宋_GB2312" w:hAnsi="仿宋_GB2312" w:eastAsia="仿宋_GB2312" w:cs="仿宋_GB2312"/>
                <w:color w:val="333333"/>
                <w:sz w:val="24"/>
                <w:szCs w:val="24"/>
                <w:shd w:val="clear" w:color="auto" w:fill="FBFDFE"/>
              </w:rPr>
            </w:pPr>
            <w:r>
              <w:rPr>
                <w:rFonts w:hint="eastAsia" w:ascii="仿宋_GB2312" w:hAnsi="仿宋_GB2312" w:eastAsia="仿宋_GB2312" w:cs="仿宋_GB2312"/>
                <w:color w:val="333333"/>
                <w:sz w:val="24"/>
                <w:szCs w:val="24"/>
                <w:shd w:val="clear" w:color="auto" w:fill="FBFDFE"/>
              </w:rPr>
              <w:t>（16）合同期间如遇有上级部门另有规定的，按规定执行，本项目自然终止，因前期投资运营所涉及的经济损失由</w:t>
            </w:r>
            <w:r>
              <w:rPr>
                <w:rFonts w:hint="eastAsia" w:ascii="仿宋_GB2312" w:hAnsi="仿宋_GB2312" w:eastAsia="仿宋_GB2312" w:cs="仿宋_GB2312"/>
                <w:color w:val="333333"/>
                <w:sz w:val="24"/>
                <w:szCs w:val="24"/>
                <w:shd w:val="clear" w:color="auto" w:fill="FBFDFE"/>
                <w:lang w:eastAsia="zh-CN"/>
              </w:rPr>
              <w:t>受让方</w:t>
            </w:r>
            <w:r>
              <w:rPr>
                <w:rFonts w:hint="eastAsia" w:ascii="仿宋_GB2312" w:hAnsi="仿宋_GB2312" w:eastAsia="仿宋_GB2312" w:cs="仿宋_GB2312"/>
                <w:color w:val="333333"/>
                <w:sz w:val="24"/>
                <w:szCs w:val="24"/>
                <w:shd w:val="clear" w:color="auto" w:fill="FBFDFE"/>
              </w:rPr>
              <w:t>自行承担。</w:t>
            </w:r>
          </w:p>
        </w:tc>
        <w:tc>
          <w:tcPr>
            <w:tcW w:w="2400" w:type="dxa"/>
            <w:noWrap w:val="0"/>
            <w:vAlign w:val="top"/>
          </w:tcPr>
          <w:p w14:paraId="5F892084">
            <w:pPr>
              <w:rPr>
                <w:rFonts w:ascii="仿宋_GB2312" w:hAnsi="仿宋_GB2312" w:eastAsia="仿宋_GB2312" w:cs="仿宋_GB2312"/>
                <w:color w:val="333333"/>
                <w:sz w:val="32"/>
                <w:szCs w:val="32"/>
                <w:shd w:val="clear" w:color="auto" w:fill="FBFDFE"/>
              </w:rPr>
            </w:pPr>
          </w:p>
        </w:tc>
        <w:tc>
          <w:tcPr>
            <w:tcW w:w="1036" w:type="dxa"/>
            <w:noWrap w:val="0"/>
            <w:vAlign w:val="top"/>
          </w:tcPr>
          <w:p w14:paraId="56F0D76D">
            <w:pPr>
              <w:rPr>
                <w:rFonts w:ascii="仿宋_GB2312" w:hAnsi="仿宋_GB2312" w:eastAsia="仿宋_GB2312" w:cs="仿宋_GB2312"/>
                <w:color w:val="333333"/>
                <w:sz w:val="32"/>
                <w:szCs w:val="32"/>
                <w:shd w:val="clear" w:color="auto" w:fill="FBFDFE"/>
              </w:rPr>
            </w:pPr>
          </w:p>
        </w:tc>
      </w:tr>
      <w:tr w14:paraId="2037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74" w:type="dxa"/>
            <w:vMerge w:val="restart"/>
            <w:noWrap w:val="0"/>
            <w:vAlign w:val="top"/>
          </w:tcPr>
          <w:p w14:paraId="317D953C">
            <w:pPr>
              <w:rPr>
                <w:rFonts w:hint="eastAsia" w:ascii="仿宋_GB2312" w:hAnsi="仿宋_GB2312" w:eastAsia="仿宋_GB2312" w:cs="仿宋_GB2312"/>
                <w:color w:val="333333"/>
                <w:kern w:val="0"/>
                <w:sz w:val="24"/>
                <w:shd w:val="clear" w:color="auto" w:fill="FBFDFE"/>
              </w:rPr>
            </w:pPr>
          </w:p>
          <w:p w14:paraId="27CC7465">
            <w:pPr>
              <w:rPr>
                <w:rFonts w:hint="eastAsia" w:ascii="仿宋_GB2312" w:hAnsi="仿宋_GB2312" w:eastAsia="仿宋_GB2312" w:cs="仿宋_GB2312"/>
                <w:color w:val="333333"/>
                <w:kern w:val="0"/>
                <w:sz w:val="24"/>
                <w:shd w:val="clear" w:color="auto" w:fill="FBFDFE"/>
              </w:rPr>
            </w:pPr>
          </w:p>
          <w:p w14:paraId="0185E3B4">
            <w:pP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hd w:val="clear" w:color="auto" w:fill="FBFDFE"/>
              </w:rPr>
              <w:t>7.合同管理</w:t>
            </w:r>
          </w:p>
        </w:tc>
        <w:tc>
          <w:tcPr>
            <w:tcW w:w="5609" w:type="dxa"/>
            <w:noWrap w:val="0"/>
            <w:vAlign w:val="top"/>
          </w:tcPr>
          <w:p w14:paraId="2D2ECADE">
            <w:pPr>
              <w:pStyle w:val="2"/>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zCs w:val="24"/>
                <w:shd w:val="clear" w:color="auto" w:fill="FBFDFE"/>
              </w:rPr>
              <w:t>（1）</w:t>
            </w:r>
            <w:r>
              <w:rPr>
                <w:rFonts w:hint="eastAsia" w:ascii="仿宋_GB2312" w:hAnsi="仿宋_GB2312" w:eastAsia="仿宋_GB2312" w:cs="仿宋_GB2312"/>
                <w:color w:val="333333"/>
                <w:kern w:val="0"/>
                <w:sz w:val="24"/>
                <w:szCs w:val="24"/>
                <w:shd w:val="clear" w:color="auto" w:fill="FBFDFE"/>
                <w:lang w:eastAsia="zh-CN"/>
              </w:rPr>
              <w:t>经营权转让</w:t>
            </w:r>
            <w:r>
              <w:rPr>
                <w:rFonts w:hint="eastAsia" w:ascii="仿宋_GB2312" w:hAnsi="仿宋_GB2312" w:eastAsia="仿宋_GB2312" w:cs="仿宋_GB2312"/>
                <w:color w:val="333333"/>
                <w:kern w:val="0"/>
                <w:sz w:val="24"/>
                <w:szCs w:val="24"/>
                <w:shd w:val="clear" w:color="auto" w:fill="FBFDFE"/>
              </w:rPr>
              <w:t>期：3年，合同一签三年。</w:t>
            </w:r>
          </w:p>
        </w:tc>
        <w:tc>
          <w:tcPr>
            <w:tcW w:w="2400" w:type="dxa"/>
            <w:noWrap w:val="0"/>
            <w:vAlign w:val="top"/>
          </w:tcPr>
          <w:p w14:paraId="6BE62F86">
            <w:pPr>
              <w:rPr>
                <w:rFonts w:ascii="仿宋_GB2312" w:hAnsi="仿宋_GB2312" w:eastAsia="仿宋_GB2312" w:cs="仿宋_GB2312"/>
                <w:color w:val="333333"/>
                <w:sz w:val="32"/>
                <w:szCs w:val="32"/>
                <w:shd w:val="clear" w:color="auto" w:fill="FBFDFE"/>
              </w:rPr>
            </w:pPr>
          </w:p>
        </w:tc>
        <w:tc>
          <w:tcPr>
            <w:tcW w:w="1036" w:type="dxa"/>
            <w:noWrap w:val="0"/>
            <w:vAlign w:val="top"/>
          </w:tcPr>
          <w:p w14:paraId="6F73CA3E">
            <w:pPr>
              <w:rPr>
                <w:rFonts w:ascii="仿宋_GB2312" w:hAnsi="仿宋_GB2312" w:eastAsia="仿宋_GB2312" w:cs="仿宋_GB2312"/>
                <w:color w:val="333333"/>
                <w:sz w:val="32"/>
                <w:szCs w:val="32"/>
                <w:shd w:val="clear" w:color="auto" w:fill="FBFDFE"/>
              </w:rPr>
            </w:pPr>
          </w:p>
        </w:tc>
      </w:tr>
      <w:tr w14:paraId="01C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Merge w:val="continue"/>
            <w:noWrap w:val="0"/>
            <w:vAlign w:val="top"/>
          </w:tcPr>
          <w:p w14:paraId="2C06CE0F">
            <w:pPr>
              <w:rPr>
                <w:rFonts w:ascii="仿宋_GB2312" w:hAnsi="仿宋_GB2312" w:eastAsia="仿宋_GB2312" w:cs="仿宋_GB2312"/>
                <w:color w:val="333333"/>
                <w:sz w:val="32"/>
                <w:szCs w:val="32"/>
                <w:shd w:val="clear" w:color="auto" w:fill="FBFDFE"/>
              </w:rPr>
            </w:pPr>
          </w:p>
        </w:tc>
        <w:tc>
          <w:tcPr>
            <w:tcW w:w="5609" w:type="dxa"/>
            <w:noWrap w:val="0"/>
            <w:vAlign w:val="top"/>
          </w:tcPr>
          <w:p w14:paraId="3D0F27EF">
            <w:pPr>
              <w:ind w:firstLine="42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hd w:val="clear" w:color="auto" w:fill="FBFDFE"/>
              </w:rPr>
              <w:t>（2）</w:t>
            </w:r>
            <w:r>
              <w:rPr>
                <w:rFonts w:hint="eastAsia" w:ascii="仿宋_GB2312" w:hAnsi="仿宋_GB2312" w:eastAsia="仿宋_GB2312" w:cs="仿宋_GB2312"/>
                <w:color w:val="333333"/>
                <w:shd w:val="clear" w:color="auto" w:fill="FBFDFE"/>
                <w:lang w:eastAsia="zh-CN"/>
              </w:rPr>
              <w:t>转让金</w:t>
            </w:r>
            <w:r>
              <w:rPr>
                <w:rFonts w:hint="eastAsia" w:ascii="仿宋_GB2312" w:hAnsi="仿宋_GB2312" w:eastAsia="仿宋_GB2312" w:cs="仿宋_GB2312"/>
                <w:color w:val="333333"/>
                <w:shd w:val="clear" w:color="auto" w:fill="FBFDFE"/>
              </w:rPr>
              <w:t>支付方式：先付费后使用。在被确人为受让方后五个工作日内签署转让合同以及一次性支付当年</w:t>
            </w:r>
            <w:r>
              <w:rPr>
                <w:rFonts w:hint="eastAsia" w:ascii="仿宋_GB2312" w:hAnsi="仿宋_GB2312" w:eastAsia="仿宋_GB2312" w:cs="仿宋_GB2312"/>
                <w:color w:val="333333"/>
                <w:shd w:val="clear" w:color="auto" w:fill="FBFDFE"/>
                <w:lang w:eastAsia="zh-CN"/>
              </w:rPr>
              <w:t>转让</w:t>
            </w:r>
            <w:r>
              <w:rPr>
                <w:rFonts w:hint="eastAsia" w:ascii="仿宋_GB2312" w:hAnsi="仿宋_GB2312" w:eastAsia="仿宋_GB2312" w:cs="仿宋_GB2312"/>
                <w:color w:val="333333"/>
                <w:shd w:val="clear" w:color="auto" w:fill="FBFDFE"/>
              </w:rPr>
              <w:t>金，</w:t>
            </w:r>
            <w:r>
              <w:rPr>
                <w:rFonts w:hint="eastAsia" w:ascii="仿宋_GB2312" w:hAnsi="仿宋_GB2312" w:eastAsia="仿宋_GB2312" w:cs="仿宋_GB2312"/>
                <w:color w:val="333333"/>
                <w:shd w:val="clear" w:color="auto" w:fill="FBFDFE"/>
                <w:lang w:eastAsia="zh-CN"/>
              </w:rPr>
              <w:t>履约保证</w:t>
            </w:r>
            <w:r>
              <w:rPr>
                <w:rFonts w:hint="eastAsia" w:ascii="仿宋_GB2312" w:hAnsi="仿宋_GB2312" w:eastAsia="仿宋_GB2312" w:cs="仿宋_GB2312"/>
                <w:color w:val="333333"/>
                <w:shd w:val="clear" w:color="auto" w:fill="FBFDFE"/>
              </w:rPr>
              <w:t>金以及其他所需费用。此后每年的</w:t>
            </w:r>
            <w:r>
              <w:rPr>
                <w:rFonts w:hint="eastAsia" w:ascii="仿宋_GB2312" w:hAnsi="仿宋_GB2312" w:eastAsia="仿宋_GB2312" w:cs="仿宋_GB2312"/>
                <w:color w:val="333333"/>
                <w:shd w:val="clear" w:color="auto" w:fill="FBFDFE"/>
                <w:lang w:eastAsia="zh-CN"/>
              </w:rPr>
              <w:t>转让</w:t>
            </w:r>
            <w:r>
              <w:rPr>
                <w:rFonts w:hint="eastAsia" w:ascii="仿宋_GB2312" w:hAnsi="仿宋_GB2312" w:eastAsia="仿宋_GB2312" w:cs="仿宋_GB2312"/>
                <w:color w:val="333333"/>
                <w:shd w:val="clear" w:color="auto" w:fill="FBFDFE"/>
              </w:rPr>
              <w:t>金应分别于每年的11月1日前一次性付清，先付后</w:t>
            </w:r>
            <w:r>
              <w:rPr>
                <w:rFonts w:hint="eastAsia" w:ascii="仿宋_GB2312" w:hAnsi="仿宋_GB2312" w:eastAsia="仿宋_GB2312" w:cs="仿宋_GB2312"/>
                <w:color w:val="333333"/>
                <w:shd w:val="clear" w:color="auto" w:fill="FBFDFE"/>
                <w:lang w:eastAsia="zh-CN"/>
              </w:rPr>
              <w:t>用</w:t>
            </w:r>
            <w:r>
              <w:rPr>
                <w:rFonts w:hint="eastAsia" w:ascii="仿宋_GB2312" w:hAnsi="仿宋_GB2312" w:eastAsia="仿宋_GB2312" w:cs="仿宋_GB2312"/>
                <w:color w:val="333333"/>
                <w:shd w:val="clear" w:color="auto" w:fill="FBFDFE"/>
              </w:rPr>
              <w:t>。</w:t>
            </w:r>
          </w:p>
        </w:tc>
        <w:tc>
          <w:tcPr>
            <w:tcW w:w="2400" w:type="dxa"/>
            <w:noWrap w:val="0"/>
            <w:vAlign w:val="top"/>
          </w:tcPr>
          <w:p w14:paraId="74C3F591">
            <w:pPr>
              <w:rPr>
                <w:rFonts w:ascii="仿宋_GB2312" w:hAnsi="仿宋_GB2312" w:eastAsia="仿宋_GB2312" w:cs="仿宋_GB2312"/>
                <w:color w:val="333333"/>
                <w:sz w:val="32"/>
                <w:szCs w:val="32"/>
                <w:shd w:val="clear" w:color="auto" w:fill="FBFDFE"/>
              </w:rPr>
            </w:pPr>
          </w:p>
        </w:tc>
        <w:tc>
          <w:tcPr>
            <w:tcW w:w="1036" w:type="dxa"/>
            <w:noWrap w:val="0"/>
            <w:vAlign w:val="top"/>
          </w:tcPr>
          <w:p w14:paraId="3337984F">
            <w:pPr>
              <w:rPr>
                <w:rFonts w:ascii="仿宋_GB2312" w:hAnsi="仿宋_GB2312" w:eastAsia="仿宋_GB2312" w:cs="仿宋_GB2312"/>
                <w:color w:val="333333"/>
                <w:sz w:val="32"/>
                <w:szCs w:val="32"/>
                <w:shd w:val="clear" w:color="auto" w:fill="FBFDFE"/>
              </w:rPr>
            </w:pPr>
          </w:p>
        </w:tc>
      </w:tr>
    </w:tbl>
    <w:p w14:paraId="6BC55EE4">
      <w:pPr>
        <w:rPr>
          <w:rFonts w:hint="eastAsia" w:ascii="仿宋_GB2312" w:hAnsi="仿宋_GB2312" w:eastAsia="仿宋_GB2312" w:cs="仿宋_GB2312"/>
          <w:color w:val="333333"/>
          <w:kern w:val="0"/>
          <w:sz w:val="24"/>
          <w:shd w:val="clear" w:color="auto" w:fill="FBFDFE"/>
        </w:rPr>
      </w:pPr>
    </w:p>
    <w:p w14:paraId="0B248337">
      <w:r>
        <w:rPr>
          <w:rFonts w:hint="eastAsia" w:ascii="仿宋_GB2312" w:hAnsi="仿宋_GB2312" w:eastAsia="仿宋_GB2312" w:cs="仿宋_GB2312"/>
          <w:color w:val="333333"/>
          <w:kern w:val="0"/>
          <w:sz w:val="24"/>
          <w:shd w:val="clear" w:color="auto" w:fill="FBFDFE"/>
        </w:rPr>
        <w:t>本公司承诺所提供的综合评审材料真实性，若有任何虚构，愿意承担一切经济法律责任。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C1377"/>
    <w:multiLevelType w:val="singleLevel"/>
    <w:tmpl w:val="8EBC1377"/>
    <w:lvl w:ilvl="0" w:tentative="0">
      <w:start w:val="5"/>
      <w:numFmt w:val="chineseCounting"/>
      <w:suff w:val="nothing"/>
      <w:lvlText w:val="%1、"/>
      <w:lvlJc w:val="left"/>
      <w:rPr>
        <w:rFonts w:hint="eastAsia"/>
      </w:rPr>
    </w:lvl>
  </w:abstractNum>
  <w:abstractNum w:abstractNumId="1">
    <w:nsid w:val="903BEDFE"/>
    <w:multiLevelType w:val="multilevel"/>
    <w:tmpl w:val="903BEDFE"/>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988965B8"/>
    <w:multiLevelType w:val="singleLevel"/>
    <w:tmpl w:val="988965B8"/>
    <w:lvl w:ilvl="0" w:tentative="0">
      <w:start w:val="1"/>
      <w:numFmt w:val="decimal"/>
      <w:suff w:val="nothing"/>
      <w:lvlText w:val="%1、"/>
      <w:lvlJc w:val="left"/>
    </w:lvl>
  </w:abstractNum>
  <w:abstractNum w:abstractNumId="3">
    <w:nsid w:val="F3463AE6"/>
    <w:multiLevelType w:val="singleLevel"/>
    <w:tmpl w:val="F3463AE6"/>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4763B"/>
    <w:rsid w:val="4F44763B"/>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2"/>
    </w:rPr>
  </w:style>
  <w:style w:type="paragraph" w:styleId="3">
    <w:name w:val="Plain Text"/>
    <w:basedOn w:val="1"/>
    <w:qFormat/>
    <w:uiPriority w:val="0"/>
    <w:rPr>
      <w:rFonts w:ascii="宋体" w:hAnsi="Courier New"/>
      <w:szCs w:val="20"/>
    </w:rPr>
  </w:style>
  <w:style w:type="paragraph" w:styleId="4">
    <w:name w:val="Normal (Web)"/>
    <w:basedOn w:val="1"/>
    <w:qFormat/>
    <w:uiPriority w:val="99"/>
    <w:pPr>
      <w:widowControl/>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2024-11-29T02:04:00Z</dcterms:created>
  <dc:creator>冯飞扬</dc:creator>
  <cp:lastModifiedBy>冯飞扬</cp:lastModifiedBy>
  <dcterms:modified xsi:type="dcterms:W3CDTF">2024-11-29T02:07:32Z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A78B6E0F51FE4594980185B95FFC857E_11</vt:lpwstr>
  </property>
</Properties>
</file>