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2B008">
      <w:pPr>
        <w:pStyle w:val="2"/>
        <w:ind w:firstLine="3080" w:firstLineChars="700"/>
        <w:rPr>
          <w:rFonts w:hint="eastAsia"/>
          <w:kern w:val="2"/>
          <w:sz w:val="28"/>
          <w:szCs w:val="28"/>
          <w:u w:val="none"/>
        </w:rPr>
      </w:pPr>
      <w:bookmarkStart w:id="0" w:name="_Toc28359011"/>
      <w:bookmarkStart w:id="1" w:name="_Toc35393797"/>
      <w:bookmarkStart w:id="2" w:name="_Toc39926506"/>
      <w:r>
        <w:rPr>
          <w:rFonts w:hint="eastAsia"/>
          <w:u w:val="none"/>
        </w:rPr>
        <w:t xml:space="preserve"> 询价</w:t>
      </w:r>
      <w:bookmarkEnd w:id="0"/>
      <w:bookmarkEnd w:id="1"/>
      <w:r>
        <w:rPr>
          <w:rFonts w:hint="eastAsia"/>
          <w:u w:val="none"/>
        </w:rPr>
        <w:t>通知书</w:t>
      </w:r>
      <w:bookmarkStart w:id="3" w:name="_Toc28359012"/>
      <w:bookmarkStart w:id="4" w:name="_Toc35393629"/>
      <w:bookmarkStart w:id="5" w:name="_Toc28359089"/>
      <w:bookmarkStart w:id="6" w:name="_Toc35393798"/>
    </w:p>
    <w:p w14:paraId="01880AE9">
      <w:pPr>
        <w:spacing w:line="400" w:lineRule="exact"/>
        <w:rPr>
          <w:rFonts w:hint="eastAsia" w:cs="仿宋"/>
          <w:u w:val="none"/>
        </w:rPr>
      </w:pPr>
      <w:r>
        <w:rPr>
          <w:rFonts w:hint="eastAsia" w:cs="仿宋"/>
          <w:u w:val="none"/>
        </w:rPr>
        <w:t>溧水区人民医院</w:t>
      </w:r>
      <w:r>
        <w:rPr>
          <w:rFonts w:hint="eastAsia" w:cs="仿宋"/>
          <w:u w:val="none"/>
          <w:lang w:eastAsia="zh-CN"/>
        </w:rPr>
        <w:t>环保自行监测</w:t>
      </w:r>
      <w:r>
        <w:rPr>
          <w:rFonts w:hint="eastAsia" w:cs="仿宋"/>
          <w:u w:val="none"/>
        </w:rPr>
        <w:t>项目的潜在</w:t>
      </w:r>
      <w:r>
        <w:rPr>
          <w:rFonts w:hint="eastAsia" w:cs="仿宋"/>
          <w:u w:val="none"/>
          <w:lang w:eastAsia="zh-CN"/>
        </w:rPr>
        <w:t>服务商</w:t>
      </w:r>
      <w:r>
        <w:rPr>
          <w:rFonts w:hint="eastAsia" w:cs="仿宋"/>
          <w:u w:val="none"/>
        </w:rPr>
        <w:t>应在溧水区人民医院官网获取采购文件，并于2024年</w:t>
      </w:r>
      <w:r>
        <w:rPr>
          <w:rFonts w:hint="eastAsia" w:cs="仿宋"/>
          <w:u w:val="none"/>
          <w:lang w:val="en-US" w:eastAsia="zh-CN"/>
        </w:rPr>
        <w:t>12</w:t>
      </w:r>
      <w:r>
        <w:rPr>
          <w:rFonts w:hint="eastAsia" w:cs="仿宋"/>
          <w:u w:val="none"/>
        </w:rPr>
        <w:t>月</w:t>
      </w:r>
      <w:r>
        <w:rPr>
          <w:rFonts w:hint="eastAsia" w:cs="仿宋"/>
          <w:u w:val="none"/>
          <w:lang w:val="en-US" w:eastAsia="zh-CN"/>
        </w:rPr>
        <w:t>25</w:t>
      </w:r>
      <w:r>
        <w:rPr>
          <w:rFonts w:hint="eastAsia" w:cs="仿宋"/>
          <w:u w:val="none"/>
        </w:rPr>
        <w:t>日</w:t>
      </w:r>
      <w:r>
        <w:rPr>
          <w:rFonts w:hint="eastAsia" w:cs="仿宋"/>
          <w:u w:val="none"/>
          <w:lang w:val="en-US" w:eastAsia="zh-CN"/>
        </w:rPr>
        <w:t>9</w:t>
      </w:r>
      <w:r>
        <w:rPr>
          <w:rFonts w:hint="eastAsia" w:cs="仿宋"/>
          <w:u w:val="none"/>
        </w:rPr>
        <w:t>点30分（北京时间）前提交响应文件。</w:t>
      </w:r>
    </w:p>
    <w:p w14:paraId="5B17449D">
      <w:pPr>
        <w:spacing w:line="400" w:lineRule="exact"/>
        <w:ind w:firstLine="281" w:firstLineChars="100"/>
        <w:rPr>
          <w:rFonts w:hint="eastAsia" w:cs="仿宋"/>
          <w:u w:val="none"/>
        </w:rPr>
      </w:pPr>
      <w:bookmarkStart w:id="23" w:name="_GoBack"/>
      <w:bookmarkEnd w:id="23"/>
    </w:p>
    <w:p w14:paraId="26B02F2D">
      <w:pPr>
        <w:spacing w:line="400" w:lineRule="exact"/>
        <w:ind w:left="0" w:leftChars="0" w:firstLine="0" w:firstLineChars="0"/>
        <w:rPr>
          <w:rFonts w:hint="eastAsia" w:cs="仿宋"/>
          <w:u w:val="none"/>
        </w:rPr>
      </w:pPr>
      <w:r>
        <w:rPr>
          <w:rFonts w:hint="eastAsia" w:cs="仿宋"/>
          <w:u w:val="none"/>
        </w:rPr>
        <w:t>一、项目基本情况</w:t>
      </w:r>
      <w:bookmarkEnd w:id="3"/>
      <w:bookmarkEnd w:id="4"/>
      <w:bookmarkEnd w:id="5"/>
      <w:bookmarkEnd w:id="6"/>
    </w:p>
    <w:p w14:paraId="500EA51E">
      <w:pPr>
        <w:spacing w:line="400" w:lineRule="exact"/>
        <w:rPr>
          <w:rFonts w:hint="default" w:eastAsia="仿宋" w:cs="仿宋"/>
          <w:b w:val="0"/>
          <w:bCs w:val="0"/>
          <w:color w:val="000000"/>
          <w:kern w:val="0"/>
          <w:highlight w:val="none"/>
          <w:u w:val="none"/>
          <w:lang w:val="en-US" w:eastAsia="zh-CN"/>
        </w:rPr>
      </w:pPr>
      <w:r>
        <w:rPr>
          <w:rFonts w:hint="eastAsia" w:cs="仿宋"/>
          <w:color w:val="000000"/>
          <w:kern w:val="0"/>
          <w:highlight w:val="none"/>
          <w:u w:val="none"/>
        </w:rPr>
        <w:t>项目编号：</w:t>
      </w:r>
      <w:r>
        <w:rPr>
          <w:rFonts w:hint="eastAsia" w:cs="仿宋"/>
          <w:b w:val="0"/>
          <w:bCs w:val="0"/>
          <w:color w:val="000000"/>
          <w:kern w:val="0"/>
          <w:highlight w:val="none"/>
          <w:u w:val="none"/>
        </w:rPr>
        <w:t>LSRY-ZB2024-Z0</w:t>
      </w:r>
      <w:r>
        <w:rPr>
          <w:rFonts w:hint="eastAsia" w:cs="仿宋"/>
          <w:b w:val="0"/>
          <w:bCs w:val="0"/>
          <w:color w:val="000000"/>
          <w:kern w:val="0"/>
          <w:highlight w:val="none"/>
          <w:u w:val="none"/>
          <w:lang w:val="en-US" w:eastAsia="zh-CN"/>
        </w:rPr>
        <w:t>08</w:t>
      </w:r>
    </w:p>
    <w:p w14:paraId="5CE14C95">
      <w:pPr>
        <w:spacing w:line="400" w:lineRule="exact"/>
        <w:rPr>
          <w:rFonts w:hint="eastAsia" w:cs="仿宋"/>
          <w:b w:val="0"/>
          <w:bCs w:val="0"/>
          <w:color w:val="000000"/>
          <w:kern w:val="0"/>
          <w:highlight w:val="none"/>
          <w:u w:val="none"/>
        </w:rPr>
      </w:pPr>
      <w:r>
        <w:rPr>
          <w:rFonts w:hint="eastAsia" w:cs="仿宋"/>
          <w:color w:val="000000"/>
          <w:kern w:val="0"/>
          <w:highlight w:val="none"/>
          <w:u w:val="none"/>
        </w:rPr>
        <w:t>项目名称：</w:t>
      </w:r>
      <w:r>
        <w:rPr>
          <w:rFonts w:hint="eastAsia" w:cs="仿宋"/>
          <w:b w:val="0"/>
          <w:bCs w:val="0"/>
          <w:color w:val="000000"/>
          <w:kern w:val="0"/>
          <w:highlight w:val="none"/>
          <w:u w:val="none"/>
        </w:rPr>
        <w:t>溧水区人民医院</w:t>
      </w:r>
      <w:r>
        <w:rPr>
          <w:rFonts w:hint="eastAsia" w:cs="仿宋"/>
          <w:b w:val="0"/>
          <w:bCs w:val="0"/>
          <w:color w:val="000000"/>
          <w:kern w:val="0"/>
          <w:highlight w:val="none"/>
          <w:u w:val="none"/>
          <w:lang w:eastAsia="zh-CN"/>
        </w:rPr>
        <w:t>环保自行监测</w:t>
      </w:r>
      <w:r>
        <w:rPr>
          <w:rFonts w:hint="eastAsia" w:cs="仿宋"/>
          <w:b w:val="0"/>
          <w:bCs w:val="0"/>
          <w:color w:val="000000"/>
          <w:kern w:val="0"/>
          <w:highlight w:val="none"/>
          <w:u w:val="none"/>
        </w:rPr>
        <w:t>项目</w:t>
      </w:r>
    </w:p>
    <w:p w14:paraId="4A43E46B">
      <w:pPr>
        <w:spacing w:line="400" w:lineRule="exact"/>
        <w:rPr>
          <w:rFonts w:hint="eastAsia" w:eastAsia="仿宋" w:cs="仿宋"/>
          <w:b w:val="0"/>
          <w:bCs w:val="0"/>
          <w:color w:val="000000"/>
          <w:kern w:val="0"/>
          <w:highlight w:val="none"/>
          <w:u w:val="none"/>
          <w:lang w:val="en-US" w:eastAsia="zh-CN"/>
        </w:rPr>
      </w:pPr>
      <w:r>
        <w:rPr>
          <w:rFonts w:hint="eastAsia" w:cs="仿宋"/>
          <w:color w:val="000000"/>
          <w:kern w:val="0"/>
          <w:highlight w:val="none"/>
          <w:u w:val="none"/>
        </w:rPr>
        <w:t>采购方式：</w:t>
      </w:r>
      <w:r>
        <w:rPr>
          <w:rFonts w:hint="eastAsia" w:cs="仿宋"/>
          <w:b w:val="0"/>
          <w:bCs w:val="0"/>
          <w:color w:val="000000"/>
          <w:kern w:val="0"/>
          <w:highlight w:val="none"/>
          <w:u w:val="none"/>
        </w:rPr>
        <w:t>询价</w:t>
      </w:r>
    </w:p>
    <w:p w14:paraId="299EB31E">
      <w:pPr>
        <w:spacing w:line="400" w:lineRule="exact"/>
        <w:rPr>
          <w:rFonts w:hint="eastAsia" w:cs="仿宋"/>
          <w:color w:val="000000"/>
          <w:kern w:val="0"/>
          <w:highlight w:val="none"/>
          <w:u w:val="none"/>
        </w:rPr>
      </w:pPr>
      <w:r>
        <w:rPr>
          <w:rFonts w:hint="eastAsia" w:cs="仿宋"/>
          <w:color w:val="000000"/>
          <w:kern w:val="0"/>
          <w:highlight w:val="none"/>
          <w:u w:val="none"/>
        </w:rPr>
        <w:t>最</w:t>
      </w:r>
      <w:r>
        <w:rPr>
          <w:rFonts w:hint="eastAsia" w:cs="仿宋"/>
          <w:color w:val="000000"/>
          <w:kern w:val="0"/>
          <w:highlight w:val="none"/>
          <w:u w:val="none"/>
          <w:lang w:eastAsia="zh-CN"/>
        </w:rPr>
        <w:t>高</w:t>
      </w:r>
      <w:r>
        <w:rPr>
          <w:rFonts w:hint="eastAsia" w:cs="仿宋"/>
          <w:color w:val="000000"/>
          <w:kern w:val="0"/>
          <w:highlight w:val="none"/>
          <w:u w:val="none"/>
        </w:rPr>
        <w:t>限价：</w:t>
      </w:r>
      <w:r>
        <w:rPr>
          <w:rFonts w:hint="eastAsia" w:cs="仿宋"/>
          <w:color w:val="000000"/>
          <w:kern w:val="0"/>
          <w:highlight w:val="none"/>
          <w:u w:val="none"/>
          <w:lang w:val="en-US" w:eastAsia="zh-CN"/>
        </w:rPr>
        <w:t>33000元/年</w:t>
      </w:r>
      <w:r>
        <w:rPr>
          <w:rFonts w:hint="eastAsia" w:cs="仿宋"/>
          <w:color w:val="000000"/>
          <w:kern w:val="0"/>
          <w:highlight w:val="none"/>
          <w:u w:val="none"/>
        </w:rPr>
        <w:t>（</w:t>
      </w:r>
      <w:r>
        <w:rPr>
          <w:rFonts w:hint="eastAsia" w:cs="仿宋"/>
          <w:color w:val="000000"/>
          <w:kern w:val="0"/>
          <w:highlight w:val="none"/>
          <w:u w:val="none"/>
          <w:lang w:eastAsia="zh-CN"/>
        </w:rPr>
        <w:t>高</w:t>
      </w:r>
      <w:r>
        <w:rPr>
          <w:rFonts w:hint="eastAsia" w:cs="仿宋"/>
          <w:color w:val="000000"/>
          <w:kern w:val="0"/>
          <w:highlight w:val="none"/>
          <w:u w:val="none"/>
        </w:rPr>
        <w:t>于此项报价将视为无效标）</w:t>
      </w:r>
      <w:bookmarkStart w:id="7" w:name="_Toc28359013"/>
      <w:bookmarkStart w:id="8" w:name="_Toc28359090"/>
      <w:bookmarkStart w:id="9" w:name="_Toc35393799"/>
      <w:bookmarkStart w:id="10" w:name="_Toc35393630"/>
    </w:p>
    <w:p w14:paraId="7FF8AB04">
      <w:pPr>
        <w:spacing w:line="400" w:lineRule="exact"/>
        <w:rPr>
          <w:rFonts w:hint="eastAsia" w:cs="仿宋"/>
          <w:highlight w:val="none"/>
          <w:u w:val="none"/>
        </w:rPr>
      </w:pPr>
      <w:r>
        <w:rPr>
          <w:rFonts w:hint="eastAsia" w:cs="仿宋"/>
          <w:highlight w:val="none"/>
          <w:u w:val="none"/>
        </w:rPr>
        <w:t>服务期限：一招三年，合同一年一签</w:t>
      </w:r>
    </w:p>
    <w:p w14:paraId="28337D18">
      <w:pPr>
        <w:ind w:firstLine="562" w:firstLineChars="200"/>
        <w:rPr>
          <w:rFonts w:hint="eastAsia" w:ascii="仿宋_GB2312" w:eastAsia="仿宋"/>
          <w:sz w:val="28"/>
          <w:szCs w:val="28"/>
          <w:highlight w:val="none"/>
          <w:lang w:eastAsia="zh-CN"/>
        </w:rPr>
      </w:pPr>
      <w:r>
        <w:rPr>
          <w:rFonts w:hint="eastAsia" w:cs="仿宋"/>
          <w:highlight w:val="none"/>
          <w:u w:val="none"/>
          <w:lang w:val="en-US" w:eastAsia="zh-CN"/>
        </w:rPr>
        <w:t>履约保证金：</w:t>
      </w:r>
      <w:r>
        <w:rPr>
          <w:rFonts w:hint="eastAsia" w:cs="仿宋"/>
          <w:b w:val="0"/>
          <w:bCs w:val="0"/>
          <w:highlight w:val="none"/>
          <w:u w:val="none"/>
          <w:lang w:val="en-US" w:eastAsia="zh-CN"/>
        </w:rPr>
        <w:t>服务商中标后</w:t>
      </w:r>
      <w:r>
        <w:rPr>
          <w:rFonts w:hint="eastAsia" w:cs="仿宋"/>
          <w:b/>
          <w:bCs/>
          <w:highlight w:val="none"/>
          <w:u w:val="single"/>
          <w:lang w:val="en-US" w:eastAsia="zh-CN"/>
        </w:rPr>
        <w:t>三个工作日</w:t>
      </w:r>
      <w:r>
        <w:rPr>
          <w:rFonts w:hint="eastAsia" w:cs="仿宋"/>
          <w:b w:val="0"/>
          <w:bCs w:val="0"/>
          <w:highlight w:val="none"/>
          <w:u w:val="none"/>
          <w:lang w:val="en-US" w:eastAsia="zh-CN"/>
        </w:rPr>
        <w:t>内缴纳履约保证金为</w:t>
      </w:r>
      <w:r>
        <w:rPr>
          <w:rFonts w:hint="eastAsia" w:cs="仿宋"/>
          <w:b/>
          <w:bCs/>
          <w:highlight w:val="none"/>
          <w:u w:val="single"/>
          <w:lang w:val="en-US" w:eastAsia="zh-CN"/>
        </w:rPr>
        <w:t>中标金额的30%</w:t>
      </w:r>
      <w:r>
        <w:rPr>
          <w:rFonts w:hint="eastAsia" w:cs="仿宋"/>
          <w:b w:val="0"/>
          <w:bCs w:val="0"/>
          <w:highlight w:val="none"/>
          <w:u w:val="none"/>
          <w:lang w:val="en-US" w:eastAsia="zh-CN"/>
        </w:rPr>
        <w:t>，我院确认收到此笔款项后再与中标服务商签订服务合同，服务</w:t>
      </w:r>
      <w:r>
        <w:rPr>
          <w:rFonts w:hint="eastAsia" w:cs="仿宋"/>
          <w:b w:val="0"/>
          <w:bCs w:val="0"/>
          <w:color w:val="000000"/>
          <w:kern w:val="0"/>
          <w:highlight w:val="none"/>
          <w:u w:val="none"/>
        </w:rPr>
        <w:t>期结束后无息退还</w:t>
      </w:r>
      <w:r>
        <w:rPr>
          <w:rFonts w:hint="eastAsia" w:cs="仿宋"/>
          <w:b w:val="0"/>
          <w:bCs w:val="0"/>
          <w:color w:val="000000"/>
          <w:kern w:val="0"/>
          <w:highlight w:val="none"/>
          <w:u w:val="none"/>
          <w:lang w:eastAsia="zh-CN"/>
        </w:rPr>
        <w:t>。</w:t>
      </w:r>
    </w:p>
    <w:p w14:paraId="3EE16205">
      <w:pPr>
        <w:spacing w:line="400" w:lineRule="exact"/>
        <w:ind w:firstLine="562" w:firstLineChars="0"/>
        <w:rPr>
          <w:rFonts w:hint="default" w:cs="仿宋"/>
          <w:u w:val="none"/>
          <w:lang w:val="en-US" w:eastAsia="zh-CN"/>
        </w:rPr>
      </w:pPr>
    </w:p>
    <w:p w14:paraId="155CA451">
      <w:pPr>
        <w:spacing w:line="400" w:lineRule="exact"/>
        <w:ind w:firstLine="0" w:firstLineChars="0"/>
        <w:rPr>
          <w:rFonts w:hint="eastAsia" w:cs="仿宋"/>
          <w:u w:val="none"/>
        </w:rPr>
      </w:pPr>
      <w:r>
        <w:rPr>
          <w:rFonts w:hint="eastAsia" w:cs="仿宋"/>
          <w:u w:val="none"/>
          <w:lang w:eastAsia="zh-CN"/>
        </w:rPr>
        <w:t>二</w:t>
      </w:r>
      <w:r>
        <w:rPr>
          <w:rFonts w:hint="eastAsia" w:cs="仿宋"/>
          <w:u w:val="none"/>
        </w:rPr>
        <w:t>、投标人资格要求</w:t>
      </w:r>
      <w:bookmarkEnd w:id="7"/>
      <w:bookmarkEnd w:id="8"/>
      <w:bookmarkEnd w:id="9"/>
      <w:bookmarkEnd w:id="10"/>
    </w:p>
    <w:bookmarkEnd w:id="2"/>
    <w:p w14:paraId="4B74120C">
      <w:pPr>
        <w:spacing w:line="400" w:lineRule="exact"/>
        <w:ind w:firstLine="560"/>
        <w:rPr>
          <w:rFonts w:hint="eastAsia" w:cs="仿宋"/>
          <w:b w:val="0"/>
          <w:bCs w:val="0"/>
          <w:u w:val="none"/>
          <w:lang w:eastAsia="zh-CN"/>
        </w:rPr>
      </w:pPr>
      <w:bookmarkStart w:id="11" w:name="_Toc28359015"/>
      <w:bookmarkStart w:id="12" w:name="_Toc35393632"/>
      <w:bookmarkStart w:id="13" w:name="_Toc35393801"/>
      <w:bookmarkStart w:id="14" w:name="_Toc28359092"/>
      <w:r>
        <w:rPr>
          <w:rFonts w:hint="eastAsia" w:cs="仿宋"/>
          <w:b w:val="0"/>
          <w:bCs w:val="0"/>
          <w:u w:val="none"/>
        </w:rPr>
        <w:t>（1）具有独立承担民事责任的能力（提供法人或者其他组织的营业执照、经营许可证等证明文件和自然人的身份证明）。</w:t>
      </w:r>
      <w:r>
        <w:rPr>
          <w:rFonts w:hint="eastAsia" w:ascii="仿宋_GB2312" w:eastAsia="仿宋_GB2312"/>
          <w:sz w:val="28"/>
          <w:szCs w:val="28"/>
          <w:lang w:eastAsia="zh-CN"/>
        </w:rPr>
        <w:t>检测</w:t>
      </w:r>
      <w:r>
        <w:rPr>
          <w:rFonts w:hint="eastAsia" w:ascii="仿宋_GB2312" w:eastAsia="仿宋_GB2312"/>
          <w:sz w:val="28"/>
          <w:szCs w:val="28"/>
        </w:rPr>
        <w:t>单位需具有国家规定的相关</w:t>
      </w:r>
      <w:r>
        <w:rPr>
          <w:rFonts w:hint="eastAsia" w:ascii="仿宋_GB2312" w:eastAsia="仿宋_GB2312"/>
          <w:sz w:val="28"/>
          <w:szCs w:val="28"/>
          <w:lang w:eastAsia="zh-CN"/>
        </w:rPr>
        <w:t>检测</w:t>
      </w:r>
      <w:r>
        <w:rPr>
          <w:rFonts w:hint="eastAsia" w:ascii="仿宋_GB2312" w:eastAsia="仿宋_GB2312"/>
          <w:sz w:val="28"/>
          <w:szCs w:val="28"/>
        </w:rPr>
        <w:t>资质，营业执照经营范围需有“检验</w:t>
      </w:r>
      <w:r>
        <w:rPr>
          <w:rFonts w:hint="eastAsia" w:ascii="仿宋_GB2312" w:eastAsia="仿宋_GB2312"/>
          <w:sz w:val="28"/>
          <w:szCs w:val="28"/>
          <w:lang w:eastAsia="zh-CN"/>
        </w:rPr>
        <w:t>检测</w:t>
      </w:r>
      <w:r>
        <w:rPr>
          <w:rFonts w:hint="eastAsia" w:ascii="仿宋_GB2312" w:eastAsia="仿宋_GB2312"/>
          <w:sz w:val="28"/>
          <w:szCs w:val="28"/>
        </w:rPr>
        <w:t>服务”，具备“检验</w:t>
      </w:r>
      <w:r>
        <w:rPr>
          <w:rFonts w:hint="eastAsia" w:ascii="仿宋_GB2312" w:eastAsia="仿宋_GB2312"/>
          <w:sz w:val="28"/>
          <w:szCs w:val="28"/>
          <w:lang w:eastAsia="zh-CN"/>
        </w:rPr>
        <w:t>检测</w:t>
      </w:r>
      <w:r>
        <w:rPr>
          <w:rFonts w:hint="eastAsia" w:ascii="仿宋_GB2312" w:eastAsia="仿宋_GB2312"/>
          <w:sz w:val="28"/>
          <w:szCs w:val="28"/>
        </w:rPr>
        <w:t>机构资质认定证书”</w:t>
      </w:r>
    </w:p>
    <w:p w14:paraId="2C6D7333">
      <w:pPr>
        <w:spacing w:line="400" w:lineRule="exact"/>
        <w:ind w:firstLine="560"/>
        <w:rPr>
          <w:rFonts w:hint="eastAsia" w:cs="仿宋"/>
          <w:b w:val="0"/>
          <w:bCs w:val="0"/>
          <w:u w:val="none"/>
        </w:rPr>
      </w:pPr>
      <w:r>
        <w:rPr>
          <w:rFonts w:hint="eastAsia" w:cs="仿宋"/>
          <w:b w:val="0"/>
          <w:bCs w:val="0"/>
          <w:u w:val="none"/>
        </w:rPr>
        <w:t>（2）具有良好的商业信誉和健全的财务会计制度（提供参加本次政府采购活动前</w:t>
      </w:r>
      <w:r>
        <w:rPr>
          <w:rFonts w:hint="eastAsia" w:cs="仿宋"/>
          <w:b w:val="0"/>
          <w:bCs w:val="0"/>
          <w:u w:val="none"/>
          <w:lang w:eastAsia="zh-CN"/>
        </w:rPr>
        <w:t>近</w:t>
      </w:r>
      <w:r>
        <w:rPr>
          <w:rFonts w:hint="eastAsia" w:cs="仿宋"/>
          <w:b w:val="0"/>
          <w:bCs w:val="0"/>
          <w:u w:val="none"/>
        </w:rPr>
        <w:t>一年内（至少一个月）的会计报表）；</w:t>
      </w:r>
    </w:p>
    <w:p w14:paraId="7DE93B8C">
      <w:pPr>
        <w:spacing w:line="400" w:lineRule="exact"/>
        <w:ind w:firstLine="560"/>
        <w:rPr>
          <w:rFonts w:hint="eastAsia" w:cs="仿宋"/>
          <w:b w:val="0"/>
          <w:bCs w:val="0"/>
          <w:u w:val="none"/>
        </w:rPr>
      </w:pPr>
      <w:r>
        <w:rPr>
          <w:rFonts w:hint="eastAsia" w:cs="仿宋"/>
          <w:b w:val="0"/>
          <w:bCs w:val="0"/>
          <w:u w:val="none"/>
        </w:rPr>
        <w:t>（3）具有履行合同所必需的设备和专业技术能力（根据项目需求提供相应的专业设备说明、技术管理人员情况申明、专业技术资质等）；</w:t>
      </w:r>
    </w:p>
    <w:p w14:paraId="779E69C2">
      <w:pPr>
        <w:spacing w:line="400" w:lineRule="exact"/>
        <w:ind w:firstLine="560"/>
        <w:rPr>
          <w:rFonts w:hint="eastAsia" w:cs="仿宋"/>
          <w:b w:val="0"/>
          <w:bCs w:val="0"/>
          <w:u w:val="none"/>
        </w:rPr>
      </w:pPr>
      <w:r>
        <w:rPr>
          <w:rFonts w:hint="eastAsia" w:cs="仿宋"/>
          <w:b w:val="0"/>
          <w:bCs w:val="0"/>
          <w:u w:val="none"/>
        </w:rPr>
        <w:t>（4）有依法缴纳税收和社会保障资金的良好记录（提供参加政府采购活动前</w:t>
      </w:r>
      <w:r>
        <w:rPr>
          <w:rFonts w:hint="eastAsia" w:cs="仿宋"/>
          <w:b w:val="0"/>
          <w:bCs w:val="0"/>
          <w:u w:val="none"/>
          <w:lang w:eastAsia="zh-CN"/>
        </w:rPr>
        <w:t>近</w:t>
      </w:r>
      <w:r>
        <w:rPr>
          <w:rFonts w:hint="eastAsia" w:cs="仿宋"/>
          <w:b w:val="0"/>
          <w:bCs w:val="0"/>
          <w:u w:val="none"/>
        </w:rPr>
        <w:t>一年内至少一个月依法缴纳税收和社会保障资金的相关材料）；</w:t>
      </w:r>
    </w:p>
    <w:p w14:paraId="134C3A14">
      <w:pPr>
        <w:spacing w:line="400" w:lineRule="exact"/>
        <w:ind w:firstLine="560"/>
        <w:rPr>
          <w:rFonts w:hint="eastAsia" w:cs="仿宋"/>
          <w:b w:val="0"/>
          <w:bCs w:val="0"/>
          <w:u w:val="none"/>
        </w:rPr>
      </w:pPr>
      <w:r>
        <w:rPr>
          <w:rFonts w:hint="eastAsia" w:cs="仿宋"/>
          <w:b w:val="0"/>
          <w:bCs w:val="0"/>
          <w:u w:val="none"/>
        </w:rPr>
        <w:t>（5）参加政府采购活动前三年内，在经营活动中没有重大违法记录（提供参加政府采购活动前三年内在经营活动中没有重大违法记录的书面声明）；</w:t>
      </w:r>
    </w:p>
    <w:p w14:paraId="6E5CDBD1">
      <w:pPr>
        <w:spacing w:line="400" w:lineRule="exact"/>
        <w:ind w:firstLine="560"/>
        <w:rPr>
          <w:rFonts w:hint="eastAsia" w:cs="仿宋"/>
          <w:b w:val="0"/>
          <w:bCs w:val="0"/>
          <w:highlight w:val="none"/>
          <w:u w:val="none"/>
          <w:lang w:eastAsia="zh-CN"/>
        </w:rPr>
      </w:pPr>
      <w:r>
        <w:rPr>
          <w:rFonts w:hint="eastAsia" w:cs="仿宋"/>
          <w:b w:val="0"/>
          <w:bCs w:val="0"/>
          <w:u w:val="none"/>
        </w:rPr>
        <w:t>（6）</w:t>
      </w:r>
      <w:r>
        <w:rPr>
          <w:rFonts w:hint="eastAsia" w:cs="仿宋"/>
          <w:b w:val="0"/>
          <w:bCs w:val="0"/>
          <w:u w:val="none"/>
          <w:lang w:eastAsia="zh-CN"/>
        </w:rPr>
        <w:t>信用中国或</w:t>
      </w:r>
      <w:r>
        <w:rPr>
          <w:rFonts w:hint="eastAsia" w:cs="仿宋"/>
          <w:b w:val="0"/>
          <w:bCs w:val="0"/>
          <w:u w:val="none"/>
        </w:rPr>
        <w:t>南京市</w:t>
      </w:r>
      <w:r>
        <w:rPr>
          <w:rFonts w:hint="eastAsia" w:cs="仿宋"/>
          <w:b w:val="0"/>
          <w:bCs w:val="0"/>
          <w:highlight w:val="none"/>
          <w:u w:val="none"/>
        </w:rPr>
        <w:t>政府采购</w:t>
      </w:r>
      <w:r>
        <w:rPr>
          <w:rFonts w:hint="eastAsia" w:cs="仿宋"/>
          <w:b w:val="0"/>
          <w:bCs w:val="0"/>
          <w:highlight w:val="none"/>
          <w:u w:val="none"/>
          <w:lang w:eastAsia="zh-CN"/>
        </w:rPr>
        <w:t>服务商</w:t>
      </w:r>
      <w:r>
        <w:rPr>
          <w:rFonts w:hint="eastAsia" w:cs="仿宋"/>
          <w:b w:val="0"/>
          <w:bCs w:val="0"/>
          <w:highlight w:val="none"/>
          <w:u w:val="none"/>
        </w:rPr>
        <w:t>信用记录表</w:t>
      </w:r>
      <w:r>
        <w:rPr>
          <w:rFonts w:hint="eastAsia" w:cs="仿宋"/>
          <w:b w:val="0"/>
          <w:bCs w:val="0"/>
          <w:highlight w:val="none"/>
          <w:u w:val="none"/>
          <w:lang w:eastAsia="zh-CN"/>
        </w:rPr>
        <w:t>。</w:t>
      </w:r>
    </w:p>
    <w:p w14:paraId="109D16CF">
      <w:pPr>
        <w:spacing w:line="400" w:lineRule="exact"/>
        <w:ind w:left="0" w:leftChars="0" w:firstLine="0" w:firstLineChars="0"/>
        <w:rPr>
          <w:rFonts w:hint="eastAsia" w:cs="仿宋"/>
          <w:b w:val="0"/>
          <w:bCs w:val="0"/>
          <w:highlight w:val="none"/>
          <w:u w:val="none"/>
          <w:lang w:val="zh-CN"/>
        </w:rPr>
      </w:pPr>
    </w:p>
    <w:p w14:paraId="2E9988EE">
      <w:pPr>
        <w:spacing w:line="400" w:lineRule="exact"/>
        <w:ind w:left="0" w:leftChars="0" w:firstLine="0" w:firstLineChars="0"/>
        <w:rPr>
          <w:rFonts w:hint="eastAsia" w:cs="仿宋"/>
          <w:b w:val="0"/>
          <w:bCs w:val="0"/>
          <w:u w:val="none"/>
          <w:lang w:val="zh-CN"/>
        </w:rPr>
      </w:pPr>
      <w:r>
        <w:rPr>
          <w:rFonts w:hint="eastAsia" w:cs="仿宋"/>
          <w:b/>
          <w:bCs/>
          <w:highlight w:val="none"/>
          <w:u w:val="none"/>
          <w:lang w:val="zh-CN"/>
        </w:rPr>
        <w:t>下列供应</w:t>
      </w:r>
      <w:r>
        <w:rPr>
          <w:rFonts w:hint="eastAsia" w:cs="仿宋"/>
          <w:b/>
          <w:bCs/>
          <w:u w:val="none"/>
          <w:lang w:val="zh-CN"/>
        </w:rPr>
        <w:t>商不得参加本次采购活动：</w:t>
      </w:r>
    </w:p>
    <w:p w14:paraId="1A59C8D0">
      <w:pPr>
        <w:spacing w:line="400" w:lineRule="exact"/>
        <w:ind w:firstLine="560"/>
        <w:rPr>
          <w:rFonts w:hint="eastAsia" w:cs="仿宋"/>
          <w:b w:val="0"/>
          <w:bCs w:val="0"/>
          <w:u w:val="none"/>
        </w:rPr>
      </w:pPr>
      <w:r>
        <w:rPr>
          <w:rFonts w:hint="eastAsia" w:cs="仿宋"/>
          <w:b w:val="0"/>
          <w:bCs w:val="0"/>
          <w:u w:val="none"/>
        </w:rPr>
        <w:t>（1）供应商单位负责人为同一人或者存在直接控股、管理关系的不同供应商，不得参加同一合同项下的政府采购活动。</w:t>
      </w:r>
    </w:p>
    <w:p w14:paraId="7C16D9F7">
      <w:pPr>
        <w:spacing w:line="400" w:lineRule="exact"/>
        <w:ind w:firstLine="560"/>
        <w:rPr>
          <w:rFonts w:hint="eastAsia" w:cs="仿宋"/>
          <w:b w:val="0"/>
          <w:bCs w:val="0"/>
          <w:u w:val="none"/>
        </w:rPr>
      </w:pPr>
      <w:r>
        <w:rPr>
          <w:rFonts w:hint="eastAsia" w:cs="仿宋"/>
          <w:b w:val="0"/>
          <w:bCs w:val="0"/>
          <w:u w:val="none"/>
        </w:rPr>
        <w:t>（2）凡为采购项目提供整体设计、规范编制或者项目管理、监理、</w:t>
      </w:r>
      <w:r>
        <w:rPr>
          <w:rFonts w:hint="eastAsia" w:cs="仿宋"/>
          <w:b w:val="0"/>
          <w:bCs w:val="0"/>
          <w:u w:val="none"/>
          <w:lang w:eastAsia="zh-CN"/>
        </w:rPr>
        <w:t>监测</w:t>
      </w:r>
      <w:r>
        <w:rPr>
          <w:rFonts w:hint="eastAsia" w:cs="仿宋"/>
          <w:b w:val="0"/>
          <w:bCs w:val="0"/>
          <w:u w:val="none"/>
        </w:rPr>
        <w:t>等服务的供应商，不得再参加本项目的采购活动。</w:t>
      </w:r>
    </w:p>
    <w:p w14:paraId="423F5B41">
      <w:pPr>
        <w:spacing w:line="400" w:lineRule="exact"/>
        <w:ind w:firstLine="560"/>
        <w:rPr>
          <w:rFonts w:hint="eastAsia" w:cs="仿宋"/>
          <w:b w:val="0"/>
          <w:bCs w:val="0"/>
          <w:highlight w:val="none"/>
          <w:u w:val="none"/>
        </w:rPr>
      </w:pPr>
      <w:r>
        <w:rPr>
          <w:rFonts w:hint="eastAsia" w:cs="仿宋"/>
          <w:b w:val="0"/>
          <w:bCs w:val="0"/>
          <w:u w:val="none"/>
        </w:rPr>
        <w:t>（3）供应商被“信用中国”网站（www.creditchina.gov.cn）、“中国政</w:t>
      </w:r>
      <w:r>
        <w:rPr>
          <w:rFonts w:hint="eastAsia" w:cs="仿宋"/>
          <w:b w:val="0"/>
          <w:bCs w:val="0"/>
          <w:highlight w:val="none"/>
          <w:u w:val="none"/>
        </w:rPr>
        <w:t>府采购网”(www.ccgp.gov.cn)列入失信被执行人、重大税收违法案件当事人名单、政府采购严重违法失信行为记录名单。</w:t>
      </w:r>
    </w:p>
    <w:p w14:paraId="2925EB01">
      <w:pPr>
        <w:spacing w:line="400" w:lineRule="exact"/>
        <w:ind w:firstLine="560"/>
        <w:rPr>
          <w:rFonts w:hint="eastAsia" w:cs="仿宋"/>
          <w:b w:val="0"/>
          <w:bCs w:val="0"/>
          <w:highlight w:val="none"/>
          <w:u w:val="none"/>
          <w:lang w:val="en-US" w:eastAsia="zh-CN"/>
        </w:rPr>
      </w:pPr>
    </w:p>
    <w:p w14:paraId="45B45FD4">
      <w:pPr>
        <w:numPr>
          <w:ilvl w:val="0"/>
          <w:numId w:val="3"/>
        </w:numPr>
        <w:spacing w:line="400" w:lineRule="exact"/>
        <w:ind w:firstLine="0" w:firstLineChars="0"/>
        <w:rPr>
          <w:rFonts w:hint="eastAsia" w:cs="仿宋"/>
          <w:b/>
          <w:bCs/>
          <w:highlight w:val="none"/>
          <w:u w:val="none"/>
          <w:lang w:eastAsia="zh-CN"/>
        </w:rPr>
      </w:pPr>
      <w:r>
        <w:rPr>
          <w:rFonts w:hint="eastAsia" w:cs="仿宋"/>
          <w:b/>
          <w:bCs/>
          <w:highlight w:val="none"/>
          <w:u w:val="none"/>
          <w:lang w:eastAsia="zh-CN"/>
        </w:rPr>
        <w:t>服务要求</w:t>
      </w:r>
    </w:p>
    <w:p w14:paraId="15E8DCD1">
      <w:pPr>
        <w:spacing w:line="400" w:lineRule="exact"/>
        <w:ind w:firstLine="1124" w:firstLineChars="400"/>
        <w:rPr>
          <w:rFonts w:hint="eastAsia" w:cs="仿宋"/>
          <w:b w:val="0"/>
          <w:bCs w:val="0"/>
          <w:highlight w:val="none"/>
          <w:u w:val="none"/>
          <w:lang w:eastAsia="zh-CN"/>
        </w:rPr>
      </w:pPr>
      <w:r>
        <w:rPr>
          <w:rFonts w:hint="eastAsia" w:cs="仿宋"/>
          <w:b/>
          <w:bCs/>
          <w:u w:val="single"/>
          <w:lang w:val="en-US" w:eastAsia="zh-CN"/>
        </w:rPr>
        <w:t>请根据此项内容填写《服务响应表》，原则上均须全部响应，有一条不响应视为无效标。</w:t>
      </w:r>
    </w:p>
    <w:p w14:paraId="712EF0AF">
      <w:pPr>
        <w:numPr>
          <w:ilvl w:val="0"/>
          <w:numId w:val="4"/>
        </w:numPr>
        <w:spacing w:line="400" w:lineRule="exact"/>
        <w:rPr>
          <w:rFonts w:hint="eastAsia" w:cs="仿宋"/>
          <w:b w:val="0"/>
          <w:bCs w:val="0"/>
          <w:highlight w:val="none"/>
          <w:u w:val="none"/>
        </w:rPr>
      </w:pPr>
      <w:r>
        <w:rPr>
          <w:rFonts w:hint="eastAsia" w:cs="仿宋"/>
          <w:b w:val="0"/>
          <w:bCs w:val="0"/>
          <w:highlight w:val="none"/>
          <w:u w:val="none"/>
        </w:rPr>
        <w:t>按照医院现行的自行监测方案开展自行监测并出具符合规范的</w:t>
      </w:r>
      <w:r>
        <w:rPr>
          <w:rFonts w:hint="eastAsia" w:cs="仿宋"/>
          <w:b w:val="0"/>
          <w:bCs w:val="0"/>
          <w:highlight w:val="none"/>
          <w:u w:val="none"/>
          <w:lang w:eastAsia="zh-CN"/>
        </w:rPr>
        <w:t>监测</w:t>
      </w:r>
      <w:r>
        <w:rPr>
          <w:rFonts w:hint="eastAsia" w:cs="仿宋"/>
          <w:b w:val="0"/>
          <w:bCs w:val="0"/>
          <w:highlight w:val="none"/>
          <w:u w:val="none"/>
        </w:rPr>
        <w:t>报告（纸质报告每样两份，并提供电子报告），自行监测方案附后，如遇环保部门要求方案调整，执行最新的方案，合同价不再调整。确保报告的时效性及时性。乙方未按照甲方的自行监测方案开展监测或不按时出具</w:t>
      </w:r>
      <w:r>
        <w:rPr>
          <w:rFonts w:hint="eastAsia" w:cs="仿宋"/>
          <w:b w:val="0"/>
          <w:bCs w:val="0"/>
          <w:highlight w:val="none"/>
          <w:u w:val="none"/>
          <w:lang w:eastAsia="zh-CN"/>
        </w:rPr>
        <w:t>监测</w:t>
      </w:r>
      <w:r>
        <w:rPr>
          <w:rFonts w:hint="eastAsia" w:cs="仿宋"/>
          <w:b w:val="0"/>
          <w:bCs w:val="0"/>
          <w:highlight w:val="none"/>
          <w:u w:val="none"/>
        </w:rPr>
        <w:t>报告，甲方有权扣除履约保证金的一半每次，类似事件发生两次甲方有权单方面终止合同并保留追责乙方的权利，由此造成的环保部门的处罚由乙方全部负责，给甲方造成的其他损失全部由乙方负责赔偿。</w:t>
      </w:r>
    </w:p>
    <w:p w14:paraId="57728D3F">
      <w:pPr>
        <w:pStyle w:val="7"/>
        <w:numPr>
          <w:ilvl w:val="0"/>
          <w:numId w:val="4"/>
        </w:numPr>
        <w:rPr>
          <w:rFonts w:hint="eastAsia"/>
        </w:rPr>
      </w:pPr>
      <w:r>
        <w:rPr>
          <w:rFonts w:hint="eastAsia"/>
          <w:lang w:eastAsia="zh-CN"/>
        </w:rPr>
        <w:t>自行监测方案详见附件</w:t>
      </w:r>
      <w:r>
        <w:rPr>
          <w:rFonts w:hint="eastAsia"/>
          <w:lang w:val="en-US" w:eastAsia="zh-CN"/>
        </w:rPr>
        <w:t>8</w:t>
      </w:r>
    </w:p>
    <w:p w14:paraId="5D9F3E50">
      <w:pPr>
        <w:ind w:firstLine="562" w:firstLineChars="200"/>
        <w:rPr>
          <w:rFonts w:hint="eastAsia" w:ascii="仿宋_GB2312" w:eastAsia="仿宋"/>
          <w:sz w:val="28"/>
          <w:szCs w:val="28"/>
          <w:highlight w:val="none"/>
          <w:lang w:eastAsia="zh-CN"/>
        </w:rPr>
      </w:pPr>
      <w:r>
        <w:rPr>
          <w:rFonts w:hint="eastAsia" w:cs="仿宋"/>
          <w:u w:val="none"/>
          <w:lang w:val="en-US" w:eastAsia="zh-CN"/>
        </w:rPr>
        <w:t>（3）履约保证</w:t>
      </w:r>
      <w:r>
        <w:rPr>
          <w:rFonts w:hint="eastAsia" w:cs="仿宋"/>
          <w:highlight w:val="none"/>
          <w:u w:val="none"/>
          <w:lang w:val="en-US" w:eastAsia="zh-CN"/>
        </w:rPr>
        <w:t>金：</w:t>
      </w:r>
      <w:r>
        <w:rPr>
          <w:rFonts w:hint="eastAsia" w:cs="仿宋"/>
          <w:b w:val="0"/>
          <w:bCs w:val="0"/>
          <w:highlight w:val="none"/>
          <w:u w:val="none"/>
          <w:lang w:val="en-US" w:eastAsia="zh-CN"/>
        </w:rPr>
        <w:t>服务商中标后</w:t>
      </w:r>
      <w:r>
        <w:rPr>
          <w:rFonts w:hint="eastAsia" w:cs="仿宋"/>
          <w:b/>
          <w:bCs/>
          <w:highlight w:val="none"/>
          <w:u w:val="single"/>
          <w:lang w:val="en-US" w:eastAsia="zh-CN"/>
        </w:rPr>
        <w:t>三个工作日</w:t>
      </w:r>
      <w:r>
        <w:rPr>
          <w:rFonts w:hint="eastAsia" w:cs="仿宋"/>
          <w:b w:val="0"/>
          <w:bCs w:val="0"/>
          <w:highlight w:val="none"/>
          <w:u w:val="none"/>
          <w:lang w:val="en-US" w:eastAsia="zh-CN"/>
        </w:rPr>
        <w:t>内缴纳履约保证金为</w:t>
      </w:r>
      <w:r>
        <w:rPr>
          <w:rFonts w:hint="eastAsia" w:cs="仿宋"/>
          <w:b/>
          <w:bCs/>
          <w:highlight w:val="none"/>
          <w:u w:val="single"/>
          <w:lang w:val="en-US" w:eastAsia="zh-CN"/>
        </w:rPr>
        <w:t>中标金额的30%</w:t>
      </w:r>
      <w:r>
        <w:rPr>
          <w:rFonts w:hint="eastAsia" w:cs="仿宋"/>
          <w:b w:val="0"/>
          <w:bCs w:val="0"/>
          <w:highlight w:val="none"/>
          <w:u w:val="none"/>
          <w:lang w:val="en-US" w:eastAsia="zh-CN"/>
        </w:rPr>
        <w:t>，我院确认收到此笔款项后再与中标服务商签订服务合同，服务</w:t>
      </w:r>
      <w:r>
        <w:rPr>
          <w:rFonts w:hint="eastAsia" w:cs="仿宋"/>
          <w:b w:val="0"/>
          <w:bCs w:val="0"/>
          <w:color w:val="000000"/>
          <w:kern w:val="0"/>
          <w:highlight w:val="none"/>
          <w:u w:val="none"/>
        </w:rPr>
        <w:t>期结束后无息退还</w:t>
      </w:r>
      <w:r>
        <w:rPr>
          <w:rFonts w:hint="eastAsia" w:cs="仿宋"/>
          <w:b w:val="0"/>
          <w:bCs w:val="0"/>
          <w:color w:val="000000"/>
          <w:kern w:val="0"/>
          <w:highlight w:val="none"/>
          <w:u w:val="none"/>
          <w:lang w:eastAsia="zh-CN"/>
        </w:rPr>
        <w:t>。</w:t>
      </w:r>
    </w:p>
    <w:p w14:paraId="4017DB95">
      <w:pPr>
        <w:spacing w:line="400" w:lineRule="exact"/>
        <w:ind w:firstLine="562" w:firstLineChars="0"/>
        <w:rPr>
          <w:rFonts w:hint="eastAsia" w:cs="仿宋"/>
          <w:u w:val="none"/>
          <w:lang w:val="en-US" w:eastAsia="zh-CN"/>
        </w:rPr>
      </w:pPr>
      <w:r>
        <w:rPr>
          <w:rFonts w:hint="eastAsia" w:cs="仿宋"/>
          <w:u w:val="none"/>
          <w:lang w:val="en-US" w:eastAsia="zh-CN"/>
        </w:rPr>
        <w:t>（4）付款方式：</w:t>
      </w:r>
      <w:r>
        <w:rPr>
          <w:rFonts w:hint="eastAsia" w:ascii="仿宋_GB2312" w:eastAsia="仿宋_GB2312"/>
          <w:sz w:val="28"/>
          <w:szCs w:val="28"/>
        </w:rPr>
        <w:t>先服务后付款，第一次付款：服务满一年乙方开具发票甲方按其流程支付上一年度的</w:t>
      </w:r>
      <w:r>
        <w:rPr>
          <w:rFonts w:hint="eastAsia" w:ascii="仿宋_GB2312" w:eastAsia="仿宋_GB2312"/>
          <w:sz w:val="28"/>
          <w:szCs w:val="28"/>
          <w:lang w:eastAsia="zh-CN"/>
        </w:rPr>
        <w:t>监测</w:t>
      </w:r>
      <w:r>
        <w:rPr>
          <w:rFonts w:hint="eastAsia" w:ascii="仿宋_GB2312" w:eastAsia="仿宋_GB2312"/>
          <w:sz w:val="28"/>
          <w:szCs w:val="28"/>
        </w:rPr>
        <w:t>费，依次类推。</w:t>
      </w:r>
    </w:p>
    <w:p w14:paraId="251F4CDF">
      <w:pPr>
        <w:spacing w:line="400" w:lineRule="exact"/>
        <w:ind w:firstLine="560"/>
        <w:rPr>
          <w:rFonts w:hint="eastAsia" w:eastAsia="仿宋" w:cs="仿宋"/>
          <w:b w:val="0"/>
          <w:bCs w:val="0"/>
          <w:highlight w:val="none"/>
          <w:u w:val="none"/>
          <w:lang w:val="en-US" w:eastAsia="zh-CN"/>
        </w:rPr>
      </w:pPr>
    </w:p>
    <w:p w14:paraId="29990F88">
      <w:pPr>
        <w:numPr>
          <w:ilvl w:val="0"/>
          <w:numId w:val="0"/>
        </w:numPr>
        <w:spacing w:line="400" w:lineRule="exact"/>
        <w:rPr>
          <w:rFonts w:hint="eastAsia" w:cs="仿宋"/>
          <w:b w:val="0"/>
          <w:bCs w:val="0"/>
          <w:u w:val="none"/>
          <w:lang w:eastAsia="zh-CN"/>
        </w:rPr>
      </w:pPr>
    </w:p>
    <w:p w14:paraId="0021C195">
      <w:pPr>
        <w:spacing w:line="400" w:lineRule="exact"/>
        <w:ind w:left="0" w:leftChars="0" w:firstLine="0" w:firstLineChars="0"/>
        <w:rPr>
          <w:rFonts w:hint="eastAsia" w:cs="仿宋"/>
          <w:u w:val="none"/>
        </w:rPr>
      </w:pPr>
      <w:r>
        <w:rPr>
          <w:rFonts w:hint="eastAsia" w:cs="仿宋"/>
          <w:u w:val="none"/>
        </w:rPr>
        <w:t>四、报名事宜</w:t>
      </w:r>
    </w:p>
    <w:p w14:paraId="2A0C311F">
      <w:pPr>
        <w:spacing w:line="400" w:lineRule="exact"/>
        <w:ind w:firstLine="560"/>
        <w:rPr>
          <w:rFonts w:hint="eastAsia" w:cs="仿宋"/>
          <w:b w:val="0"/>
          <w:bCs w:val="0"/>
          <w:u w:val="none"/>
        </w:rPr>
      </w:pPr>
      <w:r>
        <w:rPr>
          <w:rFonts w:hint="eastAsia" w:cs="仿宋"/>
          <w:b w:val="0"/>
          <w:bCs w:val="0"/>
          <w:u w:val="none"/>
        </w:rPr>
        <w:t>请在</w:t>
      </w:r>
      <w:r>
        <w:rPr>
          <w:rFonts w:hint="eastAsia" w:cs="仿宋"/>
        </w:rPr>
        <w:t>2024年</w:t>
      </w:r>
      <w:r>
        <w:rPr>
          <w:rFonts w:hint="eastAsia" w:cs="仿宋"/>
          <w:lang w:val="en-US" w:eastAsia="zh-CN"/>
        </w:rPr>
        <w:t>12</w:t>
      </w:r>
      <w:r>
        <w:rPr>
          <w:rFonts w:hint="eastAsia" w:cs="仿宋"/>
        </w:rPr>
        <w:t>月</w:t>
      </w:r>
      <w:r>
        <w:rPr>
          <w:rFonts w:hint="eastAsia" w:cs="仿宋"/>
          <w:lang w:val="en-US" w:eastAsia="zh-CN"/>
        </w:rPr>
        <w:t>20</w:t>
      </w:r>
      <w:r>
        <w:rPr>
          <w:rFonts w:hint="eastAsia" w:cs="仿宋"/>
        </w:rPr>
        <w:t>日-2024年</w:t>
      </w:r>
      <w:r>
        <w:rPr>
          <w:rFonts w:hint="eastAsia" w:cs="仿宋"/>
          <w:lang w:val="en-US" w:eastAsia="zh-CN"/>
        </w:rPr>
        <w:t>12</w:t>
      </w:r>
      <w:r>
        <w:rPr>
          <w:rFonts w:hint="eastAsia" w:cs="仿宋"/>
        </w:rPr>
        <w:t>月</w:t>
      </w:r>
      <w:r>
        <w:rPr>
          <w:rFonts w:hint="eastAsia" w:cs="仿宋"/>
          <w:lang w:val="en-US" w:eastAsia="zh-CN"/>
        </w:rPr>
        <w:t>24</w:t>
      </w:r>
      <w:r>
        <w:rPr>
          <w:rFonts w:hint="eastAsia" w:cs="仿宋"/>
        </w:rPr>
        <w:t>日</w:t>
      </w:r>
      <w:r>
        <w:rPr>
          <w:rFonts w:hint="eastAsia" w:cs="仿宋"/>
          <w:lang w:val="en-US" w:eastAsia="zh-CN"/>
        </w:rPr>
        <w:t>17:30</w:t>
      </w:r>
      <w:r>
        <w:rPr>
          <w:rFonts w:hint="eastAsia" w:cs="仿宋"/>
          <w:b w:val="0"/>
          <w:bCs w:val="0"/>
          <w:u w:val="none"/>
        </w:rPr>
        <w:t>前，将符合采购文件要求的资格证明文件以Word或PDF电子文档形式发送至</w:t>
      </w:r>
      <w:r>
        <w:rPr>
          <w:rFonts w:hint="eastAsia" w:cs="仿宋"/>
          <w:b w:val="0"/>
          <w:bCs w:val="0"/>
        </w:rPr>
        <w:t>168673332@qq.com</w:t>
      </w:r>
      <w:r>
        <w:rPr>
          <w:rFonts w:hint="eastAsia" w:cs="仿宋"/>
          <w:b w:val="0"/>
          <w:bCs w:val="0"/>
          <w:u w:val="none"/>
        </w:rPr>
        <w:t>完成报名，邮件名称及报名文件均命名为“项目名称+</w:t>
      </w:r>
      <w:r>
        <w:rPr>
          <w:rFonts w:hint="eastAsia" w:cs="仿宋"/>
          <w:b w:val="0"/>
          <w:bCs w:val="0"/>
          <w:u w:val="none"/>
          <w:lang w:eastAsia="zh-CN"/>
        </w:rPr>
        <w:t>服务商</w:t>
      </w:r>
      <w:r>
        <w:rPr>
          <w:rFonts w:hint="eastAsia" w:cs="仿宋"/>
          <w:b w:val="0"/>
          <w:bCs w:val="0"/>
          <w:u w:val="none"/>
        </w:rPr>
        <w:t>名称+联系电话”。</w:t>
      </w:r>
    </w:p>
    <w:bookmarkEnd w:id="11"/>
    <w:bookmarkEnd w:id="12"/>
    <w:bookmarkEnd w:id="13"/>
    <w:bookmarkEnd w:id="14"/>
    <w:p w14:paraId="25C778CF">
      <w:pPr>
        <w:spacing w:line="400" w:lineRule="exact"/>
        <w:ind w:firstLine="560"/>
        <w:rPr>
          <w:rFonts w:hint="eastAsia" w:cs="仿宋"/>
          <w:b w:val="0"/>
          <w:bCs w:val="0"/>
          <w:u w:val="none"/>
        </w:rPr>
      </w:pPr>
    </w:p>
    <w:p w14:paraId="70726C05">
      <w:pPr>
        <w:spacing w:line="400" w:lineRule="exact"/>
        <w:ind w:left="0" w:leftChars="0" w:firstLine="0" w:firstLineChars="0"/>
        <w:rPr>
          <w:rFonts w:hint="eastAsia" w:cs="仿宋"/>
          <w:b w:val="0"/>
          <w:bCs w:val="0"/>
          <w:u w:val="none"/>
        </w:rPr>
      </w:pPr>
      <w:r>
        <w:rPr>
          <w:rFonts w:hint="eastAsia" w:cs="仿宋"/>
          <w:u w:val="none"/>
          <w:lang w:eastAsia="zh-CN"/>
        </w:rPr>
        <w:t>五</w:t>
      </w:r>
      <w:r>
        <w:rPr>
          <w:rFonts w:hint="eastAsia" w:cs="仿宋"/>
          <w:u w:val="none"/>
        </w:rPr>
        <w:t>、</w:t>
      </w:r>
      <w:r>
        <w:rPr>
          <w:rFonts w:hint="eastAsia" w:cs="仿宋"/>
          <w:u w:val="none"/>
          <w:lang w:val="zh-CN"/>
        </w:rPr>
        <w:t>出现下列情形之一的响应文件按照无效处理：</w:t>
      </w:r>
      <w:r>
        <w:rPr>
          <w:rFonts w:hint="eastAsia" w:cs="仿宋"/>
          <w:b w:val="0"/>
          <w:bCs w:val="0"/>
          <w:u w:val="none"/>
        </w:rPr>
        <w:t>（1）不具备询价文件中规定资格条件的；（2）未实质性响应询价文件要求的；（3）不符合法律、法规和采购文件规定的其他实质性要求的；（4）投标资料未密封。</w:t>
      </w:r>
    </w:p>
    <w:p w14:paraId="70A6FF50">
      <w:pPr>
        <w:spacing w:line="400" w:lineRule="exact"/>
        <w:ind w:firstLine="560"/>
        <w:rPr>
          <w:rFonts w:hint="eastAsia" w:cs="仿宋"/>
          <w:b w:val="0"/>
          <w:bCs w:val="0"/>
          <w:u w:val="none"/>
          <w:lang w:val="zh-CN"/>
        </w:rPr>
      </w:pPr>
      <w:r>
        <w:rPr>
          <w:rFonts w:hint="eastAsia" w:cs="仿宋"/>
          <w:b w:val="0"/>
          <w:bCs w:val="0"/>
          <w:u w:val="none"/>
        </w:rPr>
        <w:t>出现下列情形之一的，询价终止：</w:t>
      </w:r>
      <w:r>
        <w:rPr>
          <w:rFonts w:hint="eastAsia" w:cs="仿宋"/>
          <w:b w:val="0"/>
          <w:bCs w:val="0"/>
          <w:u w:val="none"/>
          <w:lang w:val="zh-CN"/>
        </w:rPr>
        <w:t>（1）所有服务商的响应文件被询价小组认定为无效的；（</w:t>
      </w:r>
      <w:r>
        <w:rPr>
          <w:rFonts w:hint="eastAsia" w:cs="仿宋"/>
          <w:b w:val="0"/>
          <w:bCs w:val="0"/>
          <w:u w:val="none"/>
        </w:rPr>
        <w:t>2</w:t>
      </w:r>
      <w:r>
        <w:rPr>
          <w:rFonts w:hint="eastAsia" w:cs="仿宋"/>
          <w:b w:val="0"/>
          <w:bCs w:val="0"/>
          <w:u w:val="none"/>
          <w:lang w:val="zh-CN"/>
        </w:rPr>
        <w:t>）出现影响采购公正的违法、违规行为的；（</w:t>
      </w:r>
      <w:r>
        <w:rPr>
          <w:rFonts w:hint="eastAsia" w:cs="仿宋"/>
          <w:b w:val="0"/>
          <w:bCs w:val="0"/>
          <w:u w:val="none"/>
        </w:rPr>
        <w:t>3</w:t>
      </w:r>
      <w:r>
        <w:rPr>
          <w:rFonts w:hint="eastAsia" w:cs="仿宋"/>
          <w:b w:val="0"/>
          <w:bCs w:val="0"/>
          <w:u w:val="none"/>
          <w:lang w:val="zh-CN"/>
        </w:rPr>
        <w:t>）服务商的最终报价超过采购预算的；（</w:t>
      </w:r>
      <w:r>
        <w:rPr>
          <w:rFonts w:hint="eastAsia" w:cs="仿宋"/>
          <w:b w:val="0"/>
          <w:bCs w:val="0"/>
          <w:u w:val="none"/>
        </w:rPr>
        <w:t>4</w:t>
      </w:r>
      <w:r>
        <w:rPr>
          <w:rFonts w:hint="eastAsia" w:cs="仿宋"/>
          <w:b w:val="0"/>
          <w:bCs w:val="0"/>
          <w:u w:val="none"/>
          <w:lang w:val="zh-CN"/>
        </w:rPr>
        <w:t>）因重大变故，采购任务取消的。</w:t>
      </w:r>
    </w:p>
    <w:p w14:paraId="519D97DF">
      <w:pPr>
        <w:spacing w:line="400" w:lineRule="exact"/>
        <w:ind w:firstLine="560"/>
        <w:rPr>
          <w:rFonts w:hint="eastAsia" w:cs="仿宋"/>
          <w:b w:val="0"/>
          <w:bCs w:val="0"/>
          <w:u w:val="none"/>
        </w:rPr>
      </w:pPr>
    </w:p>
    <w:p w14:paraId="25D830F0">
      <w:pPr>
        <w:spacing w:line="400" w:lineRule="exact"/>
        <w:ind w:left="0" w:leftChars="0" w:firstLine="0" w:firstLineChars="0"/>
        <w:rPr>
          <w:rFonts w:hint="eastAsia" w:cs="仿宋"/>
          <w:u w:val="none"/>
        </w:rPr>
      </w:pPr>
      <w:r>
        <w:rPr>
          <w:rFonts w:hint="eastAsia" w:cs="仿宋"/>
          <w:u w:val="none"/>
          <w:lang w:eastAsia="zh-CN"/>
        </w:rPr>
        <w:t>六</w:t>
      </w:r>
      <w:r>
        <w:rPr>
          <w:rFonts w:hint="eastAsia" w:cs="仿宋"/>
          <w:u w:val="none"/>
        </w:rPr>
        <w:t>、响应文件接收截止时间</w:t>
      </w:r>
      <w:r>
        <w:rPr>
          <w:rFonts w:hint="eastAsia" w:cs="仿宋"/>
          <w:u w:val="none"/>
          <w:lang w:eastAsia="zh-CN"/>
        </w:rPr>
        <w:t>、</w:t>
      </w:r>
      <w:r>
        <w:rPr>
          <w:rFonts w:hint="eastAsia" w:cs="仿宋"/>
          <w:u w:val="none"/>
        </w:rPr>
        <w:t>开（评）标时间及地点</w:t>
      </w:r>
    </w:p>
    <w:p w14:paraId="71DA2261">
      <w:pPr>
        <w:spacing w:line="400" w:lineRule="exact"/>
        <w:ind w:firstLine="560"/>
        <w:rPr>
          <w:rFonts w:hint="eastAsia" w:cs="仿宋"/>
          <w:b w:val="0"/>
          <w:bCs w:val="0"/>
          <w:u w:val="none"/>
        </w:rPr>
      </w:pPr>
      <w:r>
        <w:rPr>
          <w:rFonts w:hint="eastAsia" w:cs="仿宋"/>
          <w:b w:val="0"/>
          <w:bCs w:val="0"/>
          <w:u w:val="none"/>
        </w:rPr>
        <w:t>响应文件接收截止时间</w:t>
      </w:r>
      <w:r>
        <w:rPr>
          <w:rFonts w:hint="eastAsia" w:cs="仿宋"/>
          <w:b w:val="0"/>
          <w:bCs w:val="0"/>
          <w:u w:val="none"/>
          <w:lang w:eastAsia="zh-CN"/>
        </w:rPr>
        <w:t>及</w:t>
      </w:r>
      <w:r>
        <w:rPr>
          <w:rFonts w:hint="eastAsia" w:cs="仿宋"/>
          <w:b w:val="0"/>
          <w:bCs w:val="0"/>
          <w:u w:val="none"/>
        </w:rPr>
        <w:t>开标时间：2024年</w:t>
      </w:r>
      <w:r>
        <w:rPr>
          <w:rFonts w:hint="eastAsia" w:cs="仿宋"/>
          <w:b w:val="0"/>
          <w:bCs w:val="0"/>
          <w:u w:val="none"/>
          <w:lang w:val="en-US" w:eastAsia="zh-CN"/>
        </w:rPr>
        <w:t>12</w:t>
      </w:r>
      <w:r>
        <w:rPr>
          <w:rFonts w:hint="eastAsia" w:cs="仿宋"/>
          <w:b w:val="0"/>
          <w:bCs w:val="0"/>
          <w:u w:val="none"/>
        </w:rPr>
        <w:t>月</w:t>
      </w:r>
      <w:r>
        <w:rPr>
          <w:rFonts w:hint="eastAsia" w:cs="仿宋"/>
          <w:b w:val="0"/>
          <w:bCs w:val="0"/>
          <w:u w:val="none"/>
          <w:lang w:val="en-US" w:eastAsia="zh-CN"/>
        </w:rPr>
        <w:t>25</w:t>
      </w:r>
      <w:r>
        <w:rPr>
          <w:rFonts w:hint="eastAsia" w:cs="仿宋"/>
          <w:b w:val="0"/>
          <w:bCs w:val="0"/>
          <w:u w:val="none"/>
        </w:rPr>
        <w:t>日</w:t>
      </w:r>
      <w:r>
        <w:rPr>
          <w:rFonts w:hint="eastAsia" w:cs="仿宋"/>
          <w:b w:val="0"/>
          <w:bCs w:val="0"/>
          <w:u w:val="none"/>
          <w:lang w:val="en-US" w:eastAsia="zh-CN"/>
        </w:rPr>
        <w:t>9</w:t>
      </w:r>
      <w:r>
        <w:rPr>
          <w:rFonts w:hint="eastAsia" w:cs="仿宋"/>
          <w:b w:val="0"/>
          <w:bCs w:val="0"/>
          <w:u w:val="none"/>
        </w:rPr>
        <w:t>点</w:t>
      </w:r>
      <w:r>
        <w:rPr>
          <w:rFonts w:hint="eastAsia" w:cs="仿宋"/>
          <w:b w:val="0"/>
          <w:bCs w:val="0"/>
          <w:u w:val="none"/>
          <w:lang w:val="en-US" w:eastAsia="zh-CN"/>
        </w:rPr>
        <w:t>30</w:t>
      </w:r>
      <w:r>
        <w:rPr>
          <w:rFonts w:hint="eastAsia" w:cs="仿宋"/>
          <w:b w:val="0"/>
          <w:bCs w:val="0"/>
          <w:u w:val="none"/>
        </w:rPr>
        <w:t>分（北京时间）</w:t>
      </w:r>
    </w:p>
    <w:p w14:paraId="5865D01C">
      <w:pPr>
        <w:spacing w:line="400" w:lineRule="exact"/>
        <w:ind w:firstLine="560"/>
        <w:rPr>
          <w:rFonts w:hint="eastAsia" w:cs="仿宋"/>
          <w:b w:val="0"/>
          <w:bCs w:val="0"/>
          <w:u w:val="none"/>
        </w:rPr>
      </w:pPr>
      <w:r>
        <w:rPr>
          <w:rFonts w:hint="eastAsia" w:cs="仿宋"/>
          <w:b w:val="0"/>
          <w:bCs w:val="0"/>
          <w:u w:val="none"/>
        </w:rPr>
        <w:t>开标地点：溧水区人民医院行政楼5楼会议室。</w:t>
      </w:r>
    </w:p>
    <w:p w14:paraId="3128FAA3">
      <w:pPr>
        <w:spacing w:line="400" w:lineRule="exact"/>
        <w:ind w:firstLine="560"/>
        <w:rPr>
          <w:rFonts w:hint="eastAsia" w:cs="仿宋"/>
          <w:b w:val="0"/>
          <w:bCs w:val="0"/>
          <w:u w:val="none"/>
        </w:rPr>
      </w:pPr>
      <w:bookmarkStart w:id="15" w:name="_Toc35393634"/>
      <w:bookmarkStart w:id="16" w:name="_Toc28359017"/>
      <w:bookmarkStart w:id="17" w:name="_Toc28359094"/>
      <w:bookmarkStart w:id="18" w:name="_Toc35393803"/>
    </w:p>
    <w:p w14:paraId="69B0C943">
      <w:pPr>
        <w:spacing w:line="400" w:lineRule="exact"/>
        <w:ind w:firstLine="560"/>
        <w:rPr>
          <w:rFonts w:hint="eastAsia" w:cs="仿宋"/>
          <w:b w:val="0"/>
          <w:bCs w:val="0"/>
          <w:u w:val="none"/>
        </w:rPr>
      </w:pPr>
      <w:r>
        <w:rPr>
          <w:rFonts w:hint="eastAsia" w:cs="仿宋"/>
          <w:b w:val="0"/>
          <w:bCs w:val="0"/>
          <w:u w:val="none"/>
        </w:rPr>
        <w:t>响应文件包含但不限于下列内容：1.报价一览表（详见附件）；2.符合资格要求的相关材料；3.法人授权委托书、法定代表人身份证明书及被授权人身份证明书；4.</w:t>
      </w:r>
      <w:r>
        <w:rPr>
          <w:rFonts w:hint="eastAsia" w:cs="仿宋"/>
          <w:b w:val="0"/>
          <w:bCs w:val="0"/>
          <w:u w:val="none"/>
          <w:lang w:val="zh-CN"/>
        </w:rPr>
        <w:t>采购内容及要求条款偏离表</w:t>
      </w:r>
      <w:r>
        <w:rPr>
          <w:rFonts w:hint="eastAsia" w:cs="仿宋"/>
          <w:b w:val="0"/>
          <w:bCs w:val="0"/>
          <w:u w:val="none"/>
        </w:rPr>
        <w:t>（详见附件）</w:t>
      </w:r>
      <w:r>
        <w:rPr>
          <w:rFonts w:hint="eastAsia" w:cs="仿宋"/>
          <w:b w:val="0"/>
          <w:bCs w:val="0"/>
          <w:u w:val="none"/>
          <w:lang w:val="zh-CN"/>
        </w:rPr>
        <w:t>；</w:t>
      </w:r>
      <w:r>
        <w:rPr>
          <w:rFonts w:hint="eastAsia" w:cs="仿宋"/>
          <w:b w:val="0"/>
          <w:bCs w:val="0"/>
          <w:u w:val="none"/>
        </w:rPr>
        <w:t>5.项目技术及其他服务承诺。6.</w:t>
      </w:r>
      <w:r>
        <w:rPr>
          <w:rFonts w:hint="eastAsia" w:cs="仿宋"/>
          <w:b w:val="0"/>
          <w:bCs w:val="0"/>
          <w:u w:val="none"/>
          <w:lang w:val="zh-CN"/>
        </w:rPr>
        <w:t>服务商具有相关类似项目业绩情况表及证明材料等。</w:t>
      </w:r>
      <w:r>
        <w:rPr>
          <w:rFonts w:hint="eastAsia" w:cs="仿宋"/>
          <w:b w:val="0"/>
          <w:bCs w:val="0"/>
          <w:u w:val="none"/>
        </w:rPr>
        <w:t>上述材料均需加盖公章。（响应文件一式四份，一正三副，目录及页码清晰，密封，封面信息至少包含项目名称、</w:t>
      </w:r>
      <w:r>
        <w:rPr>
          <w:rFonts w:hint="eastAsia" w:cs="仿宋"/>
          <w:b w:val="0"/>
          <w:bCs w:val="0"/>
          <w:u w:val="none"/>
          <w:lang w:eastAsia="zh-CN"/>
        </w:rPr>
        <w:t>服务商</w:t>
      </w:r>
      <w:r>
        <w:rPr>
          <w:rFonts w:hint="eastAsia" w:cs="仿宋"/>
          <w:b w:val="0"/>
          <w:bCs w:val="0"/>
          <w:u w:val="none"/>
        </w:rPr>
        <w:t>名称及联系电话。每份投标文件须清楚标明“正本”或“副本”字样。一旦正本和副本不符，以正本为准。）</w:t>
      </w:r>
    </w:p>
    <w:p w14:paraId="15A7B4F7">
      <w:pPr>
        <w:spacing w:line="400" w:lineRule="exact"/>
        <w:ind w:firstLine="560"/>
        <w:rPr>
          <w:rFonts w:hint="eastAsia" w:cs="仿宋"/>
          <w:b w:val="0"/>
          <w:bCs w:val="0"/>
          <w:u w:val="none"/>
        </w:rPr>
      </w:pPr>
    </w:p>
    <w:p w14:paraId="3A19B5AD">
      <w:pPr>
        <w:spacing w:line="400" w:lineRule="exact"/>
        <w:ind w:left="0" w:leftChars="0" w:firstLine="0" w:firstLineChars="0"/>
        <w:rPr>
          <w:rFonts w:hint="eastAsia" w:cs="仿宋"/>
          <w:u w:val="none"/>
        </w:rPr>
      </w:pPr>
      <w:r>
        <w:rPr>
          <w:rFonts w:hint="eastAsia" w:cs="仿宋"/>
          <w:u w:val="none"/>
          <w:lang w:eastAsia="zh-CN"/>
        </w:rPr>
        <w:t>七</w:t>
      </w:r>
      <w:r>
        <w:rPr>
          <w:rFonts w:hint="eastAsia" w:cs="仿宋"/>
          <w:u w:val="none"/>
        </w:rPr>
        <w:t>、成交</w:t>
      </w:r>
    </w:p>
    <w:p w14:paraId="075B8A63">
      <w:pPr>
        <w:spacing w:line="400" w:lineRule="exact"/>
        <w:ind w:firstLine="560"/>
        <w:rPr>
          <w:rFonts w:hint="eastAsia" w:cs="仿宋"/>
          <w:b w:val="0"/>
          <w:bCs w:val="0"/>
          <w:u w:val="none"/>
        </w:rPr>
      </w:pPr>
      <w:r>
        <w:rPr>
          <w:rFonts w:hint="eastAsia" w:cs="仿宋"/>
          <w:b w:val="0"/>
          <w:bCs w:val="0"/>
          <w:u w:val="none"/>
        </w:rPr>
        <w:t>符合采购人对本项目资格要求，并满足采购人对本项目的采购内容及要求的基础上，投标报价</w:t>
      </w:r>
      <w:r>
        <w:rPr>
          <w:rFonts w:hint="eastAsia" w:cs="仿宋"/>
          <w:b w:val="0"/>
          <w:bCs w:val="0"/>
          <w:u w:val="none"/>
          <w:lang w:eastAsia="zh-CN"/>
        </w:rPr>
        <w:t>最低</w:t>
      </w:r>
      <w:r>
        <w:rPr>
          <w:rFonts w:hint="eastAsia" w:cs="仿宋"/>
          <w:b w:val="0"/>
          <w:bCs w:val="0"/>
          <w:u w:val="none"/>
        </w:rPr>
        <w:t>的</w:t>
      </w:r>
      <w:r>
        <w:rPr>
          <w:rFonts w:hint="eastAsia" w:cs="仿宋"/>
          <w:b w:val="0"/>
          <w:bCs w:val="0"/>
          <w:u w:val="none"/>
          <w:lang w:eastAsia="zh-CN"/>
        </w:rPr>
        <w:t>服务商</w:t>
      </w:r>
      <w:r>
        <w:rPr>
          <w:rFonts w:hint="eastAsia" w:cs="仿宋"/>
          <w:b w:val="0"/>
          <w:bCs w:val="0"/>
          <w:u w:val="none"/>
        </w:rPr>
        <w:t>为中标候选人。不再进行二次报价。</w:t>
      </w:r>
    </w:p>
    <w:p w14:paraId="5DD8B7F4">
      <w:pPr>
        <w:spacing w:line="400" w:lineRule="exact"/>
        <w:ind w:firstLine="560"/>
        <w:rPr>
          <w:rFonts w:hint="eastAsia" w:cs="仿宋"/>
          <w:b w:val="0"/>
          <w:bCs w:val="0"/>
          <w:u w:val="none"/>
        </w:rPr>
      </w:pPr>
    </w:p>
    <w:p w14:paraId="5E15EA20">
      <w:pPr>
        <w:spacing w:line="400" w:lineRule="exact"/>
        <w:ind w:left="0" w:leftChars="0" w:firstLine="0" w:firstLineChars="0"/>
        <w:rPr>
          <w:rFonts w:hint="eastAsia" w:cs="仿宋"/>
          <w:u w:val="none"/>
        </w:rPr>
      </w:pPr>
      <w:r>
        <w:rPr>
          <w:rFonts w:hint="eastAsia" w:cs="仿宋"/>
          <w:u w:val="none"/>
          <w:lang w:eastAsia="zh-CN"/>
        </w:rPr>
        <w:t>八</w:t>
      </w:r>
      <w:r>
        <w:rPr>
          <w:rFonts w:hint="eastAsia" w:cs="仿宋"/>
          <w:u w:val="none"/>
        </w:rPr>
        <w:t>、公告期限</w:t>
      </w:r>
      <w:bookmarkEnd w:id="15"/>
      <w:bookmarkEnd w:id="16"/>
      <w:bookmarkEnd w:id="17"/>
      <w:bookmarkEnd w:id="18"/>
    </w:p>
    <w:p w14:paraId="09C3A957">
      <w:pPr>
        <w:spacing w:line="400" w:lineRule="exact"/>
        <w:ind w:firstLine="560"/>
        <w:rPr>
          <w:rFonts w:hint="eastAsia" w:cs="仿宋"/>
          <w:b w:val="0"/>
          <w:bCs w:val="0"/>
          <w:u w:val="none"/>
        </w:rPr>
      </w:pPr>
      <w:r>
        <w:rPr>
          <w:rFonts w:hint="eastAsia" w:cs="仿宋"/>
          <w:b w:val="0"/>
          <w:bCs w:val="0"/>
          <w:u w:val="none"/>
        </w:rPr>
        <w:t>自本公告发布之日起3个工作日。</w:t>
      </w:r>
    </w:p>
    <w:p w14:paraId="32442EAC">
      <w:pPr>
        <w:spacing w:line="400" w:lineRule="exact"/>
        <w:ind w:firstLine="560"/>
        <w:rPr>
          <w:rFonts w:hint="eastAsia" w:cs="仿宋"/>
          <w:b w:val="0"/>
          <w:bCs w:val="0"/>
          <w:u w:val="none"/>
        </w:rPr>
      </w:pPr>
      <w:bookmarkStart w:id="19" w:name="_Toc35393636"/>
      <w:bookmarkStart w:id="20" w:name="_Toc28359018"/>
      <w:bookmarkStart w:id="21" w:name="_Toc35393805"/>
      <w:bookmarkStart w:id="22" w:name="_Toc28359095"/>
    </w:p>
    <w:p w14:paraId="7CBF3B92">
      <w:pPr>
        <w:spacing w:line="400" w:lineRule="exact"/>
        <w:ind w:left="0" w:leftChars="0" w:firstLine="0" w:firstLineChars="0"/>
        <w:rPr>
          <w:rFonts w:hint="eastAsia" w:cs="仿宋"/>
          <w:u w:val="none"/>
        </w:rPr>
      </w:pPr>
      <w:r>
        <w:rPr>
          <w:rFonts w:hint="eastAsia" w:cs="仿宋"/>
          <w:u w:val="none"/>
          <w:lang w:eastAsia="zh-CN"/>
        </w:rPr>
        <w:t>九</w:t>
      </w:r>
      <w:r>
        <w:rPr>
          <w:rFonts w:hint="eastAsia" w:cs="仿宋"/>
          <w:u w:val="none"/>
        </w:rPr>
        <w:t>、凡对本次采购提出询问，请按以下方式联系。</w:t>
      </w:r>
      <w:bookmarkEnd w:id="19"/>
      <w:bookmarkEnd w:id="20"/>
      <w:bookmarkEnd w:id="21"/>
      <w:bookmarkEnd w:id="22"/>
    </w:p>
    <w:p w14:paraId="4F5D4DFE">
      <w:pPr>
        <w:spacing w:line="400" w:lineRule="exact"/>
        <w:ind w:firstLine="560"/>
        <w:rPr>
          <w:rFonts w:hint="eastAsia" w:cs="仿宋"/>
          <w:b w:val="0"/>
          <w:bCs w:val="0"/>
          <w:u w:val="none"/>
        </w:rPr>
      </w:pPr>
      <w:r>
        <w:rPr>
          <w:rFonts w:hint="eastAsia" w:cs="仿宋"/>
          <w:b w:val="0"/>
          <w:bCs w:val="0"/>
          <w:u w:val="none"/>
        </w:rPr>
        <w:t>名    称：  总务科（</w:t>
      </w:r>
      <w:r>
        <w:rPr>
          <w:rFonts w:hint="eastAsia" w:cs="仿宋"/>
          <w:b w:val="0"/>
          <w:bCs w:val="0"/>
          <w:u w:val="none"/>
          <w:lang w:eastAsia="zh-CN"/>
        </w:rPr>
        <w:t>服务事宜</w:t>
      </w:r>
      <w:r>
        <w:rPr>
          <w:rFonts w:hint="eastAsia" w:cs="仿宋"/>
          <w:b w:val="0"/>
          <w:bCs w:val="0"/>
          <w:u w:val="none"/>
        </w:rPr>
        <w:t>咨询） 物资采购管理中心（采购事宜）</w:t>
      </w:r>
    </w:p>
    <w:p w14:paraId="4985F026">
      <w:pPr>
        <w:spacing w:line="400" w:lineRule="exact"/>
        <w:ind w:firstLine="560"/>
        <w:rPr>
          <w:rFonts w:hint="eastAsia" w:cs="仿宋"/>
          <w:b w:val="0"/>
          <w:bCs w:val="0"/>
          <w:u w:val="none"/>
        </w:rPr>
      </w:pPr>
      <w:r>
        <w:rPr>
          <w:rFonts w:hint="eastAsia" w:cs="仿宋"/>
          <w:b w:val="0"/>
          <w:bCs w:val="0"/>
          <w:u w:val="none"/>
        </w:rPr>
        <w:t xml:space="preserve">地    址：　南京市溧水区崇文路86号　　　　　　　　　     </w:t>
      </w:r>
    </w:p>
    <w:p w14:paraId="325ACAB5">
      <w:pPr>
        <w:spacing w:line="400" w:lineRule="exact"/>
        <w:ind w:firstLine="560"/>
        <w:rPr>
          <w:rFonts w:hint="eastAsia" w:cs="仿宋"/>
          <w:b w:val="0"/>
          <w:bCs w:val="0"/>
          <w:u w:val="none"/>
        </w:rPr>
      </w:pPr>
    </w:p>
    <w:p w14:paraId="601F409E">
      <w:pPr>
        <w:spacing w:line="400" w:lineRule="exact"/>
        <w:ind w:firstLine="560"/>
        <w:rPr>
          <w:rFonts w:hint="eastAsia" w:cs="仿宋"/>
          <w:b w:val="0"/>
          <w:bCs w:val="0"/>
          <w:u w:val="none"/>
        </w:rPr>
      </w:pPr>
      <w:r>
        <w:rPr>
          <w:rFonts w:hint="eastAsia" w:cs="仿宋"/>
          <w:b w:val="0"/>
          <w:bCs w:val="0"/>
          <w:u w:val="none"/>
        </w:rPr>
        <w:t>联系方式：　025-56232027</w:t>
      </w:r>
      <w:r>
        <w:rPr>
          <w:rFonts w:hint="eastAsia" w:cs="仿宋"/>
          <w:b w:val="0"/>
          <w:bCs w:val="0"/>
          <w:u w:val="none"/>
          <w:lang w:eastAsia="zh-CN"/>
        </w:rPr>
        <w:t>宋</w:t>
      </w:r>
      <w:r>
        <w:rPr>
          <w:rFonts w:hint="eastAsia" w:cs="仿宋"/>
          <w:b w:val="0"/>
          <w:bCs w:val="0"/>
          <w:u w:val="none"/>
        </w:rPr>
        <w:t>老师（总务科）</w:t>
      </w:r>
    </w:p>
    <w:p w14:paraId="29FED673">
      <w:pPr>
        <w:spacing w:line="400" w:lineRule="exact"/>
        <w:ind w:firstLine="2240" w:firstLineChars="800"/>
        <w:rPr>
          <w:rFonts w:hint="eastAsia" w:cs="仿宋"/>
          <w:b w:val="0"/>
          <w:bCs w:val="0"/>
          <w:u w:val="none"/>
        </w:rPr>
      </w:pPr>
      <w:r>
        <w:rPr>
          <w:rFonts w:hint="eastAsia" w:cs="仿宋"/>
          <w:b w:val="0"/>
          <w:bCs w:val="0"/>
          <w:u w:val="none"/>
        </w:rPr>
        <w:t>025-56232023秦老师（采购中心）</w:t>
      </w:r>
    </w:p>
    <w:p w14:paraId="0A4CD12C">
      <w:pPr>
        <w:pStyle w:val="4"/>
        <w:spacing w:line="400" w:lineRule="exact"/>
        <w:ind w:firstLine="0" w:firstLineChars="0"/>
        <w:rPr>
          <w:rFonts w:hint="eastAsia" w:ascii="仿宋" w:hAnsi="仿宋" w:eastAsia="仿宋" w:cs="仿宋"/>
          <w:lang w:eastAsia="zh-CN"/>
        </w:rPr>
        <w:sectPr>
          <w:headerReference r:id="rId5" w:type="default"/>
          <w:footerReference r:id="rId7" w:type="default"/>
          <w:headerReference r:id="rId6" w:type="even"/>
          <w:pgSz w:w="11906" w:h="16838"/>
          <w:pgMar w:top="1327" w:right="1406" w:bottom="1270" w:left="1406" w:header="851" w:footer="992" w:gutter="0"/>
          <w:cols w:space="720" w:num="1"/>
          <w:docGrid w:type="lines" w:linePitch="312" w:charSpace="0"/>
        </w:sectPr>
      </w:pPr>
    </w:p>
    <w:tbl>
      <w:tblPr>
        <w:tblStyle w:val="16"/>
        <w:tblW w:w="8986"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8"/>
        <w:gridCol w:w="3018"/>
      </w:tblGrid>
      <w:tr w14:paraId="5443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968" w:type="dxa"/>
          </w:tcPr>
          <w:p w14:paraId="2A18427D">
            <w:pPr>
              <w:widowControl/>
              <w:shd w:val="clear" w:color="auto" w:fill="FFFFFF"/>
              <w:snapToGrid w:val="0"/>
              <w:spacing w:line="400" w:lineRule="exact"/>
              <w:ind w:left="420"/>
              <w:contextualSpacing/>
              <w:jc w:val="center"/>
              <w:rPr>
                <w:rFonts w:hint="eastAsia" w:cs="仿宋"/>
                <w:color w:val="000000"/>
                <w:kern w:val="0"/>
                <w:u w:val="none"/>
                <w:lang w:bidi="en-US"/>
              </w:rPr>
            </w:pPr>
            <w:r>
              <w:rPr>
                <w:rFonts w:hint="eastAsia" w:cs="仿宋"/>
                <w:color w:val="000000"/>
                <w:kern w:val="0"/>
                <w:u w:val="none"/>
                <w:lang w:bidi="en-US"/>
              </w:rPr>
              <w:t>资格审查</w:t>
            </w:r>
            <w:r>
              <w:rPr>
                <w:rFonts w:hint="eastAsia" w:cs="仿宋"/>
                <w:color w:val="000000"/>
                <w:kern w:val="0"/>
                <w:u w:val="none"/>
                <w:lang w:eastAsia="en-US" w:bidi="en-US"/>
              </w:rPr>
              <w:t>项目</w:t>
            </w:r>
          </w:p>
        </w:tc>
        <w:tc>
          <w:tcPr>
            <w:tcW w:w="3018" w:type="dxa"/>
          </w:tcPr>
          <w:p w14:paraId="7FBB6CA1">
            <w:pPr>
              <w:snapToGrid w:val="0"/>
              <w:spacing w:line="400" w:lineRule="exact"/>
              <w:jc w:val="center"/>
              <w:rPr>
                <w:rFonts w:hint="eastAsia" w:cs="仿宋"/>
                <w:color w:val="000000"/>
                <w:u w:val="none"/>
              </w:rPr>
            </w:pPr>
            <w:r>
              <w:rPr>
                <w:rFonts w:hint="eastAsia" w:cs="仿宋"/>
                <w:color w:val="000000"/>
                <w:u w:val="none"/>
              </w:rPr>
              <w:t>在响应文件中的页码位置</w:t>
            </w:r>
          </w:p>
        </w:tc>
      </w:tr>
      <w:tr w14:paraId="70D25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968" w:type="dxa"/>
          </w:tcPr>
          <w:p w14:paraId="50F32D45">
            <w:pPr>
              <w:spacing w:line="400" w:lineRule="exact"/>
              <w:ind w:firstLine="560"/>
              <w:rPr>
                <w:rFonts w:hint="eastAsia" w:eastAsia="仿宋" w:cs="仿宋"/>
                <w:b w:val="0"/>
                <w:bCs w:val="0"/>
                <w:color w:val="000000"/>
                <w:kern w:val="0"/>
                <w:u w:val="none"/>
                <w:lang w:eastAsia="zh-CN" w:bidi="en-US"/>
              </w:rPr>
            </w:pPr>
            <w:r>
              <w:rPr>
                <w:rFonts w:hint="eastAsia" w:cs="仿宋"/>
                <w:b w:val="0"/>
                <w:bCs w:val="0"/>
                <w:color w:val="000000"/>
                <w:u w:val="none"/>
              </w:rPr>
              <w:t>具有独立承担民事责任的能力（提供法人或者其他组织的营业执照、经营许可证等证明文件和自然人的身份证明）</w:t>
            </w:r>
            <w:r>
              <w:rPr>
                <w:rFonts w:hint="eastAsia" w:cs="仿宋"/>
                <w:b w:val="0"/>
                <w:bCs w:val="0"/>
                <w:color w:val="000000"/>
                <w:u w:val="none"/>
                <w:lang w:eastAsia="zh-CN"/>
              </w:rPr>
              <w:t>，</w:t>
            </w:r>
            <w:r>
              <w:rPr>
                <w:rFonts w:hint="eastAsia" w:ascii="仿宋_GB2312" w:eastAsia="仿宋_GB2312"/>
                <w:sz w:val="28"/>
                <w:szCs w:val="28"/>
                <w:lang w:eastAsia="zh-CN"/>
              </w:rPr>
              <w:t>检测</w:t>
            </w:r>
            <w:r>
              <w:rPr>
                <w:rFonts w:hint="eastAsia" w:ascii="仿宋_GB2312" w:eastAsia="仿宋_GB2312"/>
                <w:sz w:val="28"/>
                <w:szCs w:val="28"/>
              </w:rPr>
              <w:t>单位需具有国家规定的相关</w:t>
            </w:r>
            <w:r>
              <w:rPr>
                <w:rFonts w:hint="eastAsia" w:ascii="仿宋_GB2312" w:eastAsia="仿宋_GB2312"/>
                <w:sz w:val="28"/>
                <w:szCs w:val="28"/>
                <w:lang w:eastAsia="zh-CN"/>
              </w:rPr>
              <w:t>检测</w:t>
            </w:r>
            <w:r>
              <w:rPr>
                <w:rFonts w:hint="eastAsia" w:ascii="仿宋_GB2312" w:eastAsia="仿宋_GB2312"/>
                <w:sz w:val="28"/>
                <w:szCs w:val="28"/>
              </w:rPr>
              <w:t>资质，营业执照经营范围需有“检验</w:t>
            </w:r>
            <w:r>
              <w:rPr>
                <w:rFonts w:hint="eastAsia" w:ascii="仿宋_GB2312" w:eastAsia="仿宋_GB2312"/>
                <w:sz w:val="28"/>
                <w:szCs w:val="28"/>
                <w:lang w:eastAsia="zh-CN"/>
              </w:rPr>
              <w:t>检测</w:t>
            </w:r>
            <w:r>
              <w:rPr>
                <w:rFonts w:hint="eastAsia" w:ascii="仿宋_GB2312" w:eastAsia="仿宋_GB2312"/>
                <w:sz w:val="28"/>
                <w:szCs w:val="28"/>
              </w:rPr>
              <w:t>服务”，具备“检验</w:t>
            </w:r>
            <w:r>
              <w:rPr>
                <w:rFonts w:hint="eastAsia" w:ascii="仿宋_GB2312" w:eastAsia="仿宋_GB2312"/>
                <w:sz w:val="28"/>
                <w:szCs w:val="28"/>
                <w:lang w:eastAsia="zh-CN"/>
              </w:rPr>
              <w:t>检测</w:t>
            </w:r>
            <w:r>
              <w:rPr>
                <w:rFonts w:hint="eastAsia" w:ascii="仿宋_GB2312" w:eastAsia="仿宋_GB2312"/>
                <w:sz w:val="28"/>
                <w:szCs w:val="28"/>
              </w:rPr>
              <w:t>机构资质认定证书”</w:t>
            </w:r>
          </w:p>
        </w:tc>
        <w:tc>
          <w:tcPr>
            <w:tcW w:w="3018" w:type="dxa"/>
          </w:tcPr>
          <w:p w14:paraId="7AC84A2B">
            <w:pPr>
              <w:snapToGrid w:val="0"/>
              <w:spacing w:line="400" w:lineRule="exact"/>
              <w:ind w:firstLine="560"/>
              <w:rPr>
                <w:rFonts w:hint="eastAsia" w:cs="仿宋"/>
                <w:b w:val="0"/>
                <w:bCs w:val="0"/>
                <w:color w:val="000000"/>
                <w:kern w:val="0"/>
                <w:u w:val="none"/>
                <w:lang w:bidi="en-US"/>
              </w:rPr>
            </w:pPr>
          </w:p>
        </w:tc>
      </w:tr>
      <w:tr w14:paraId="0D86E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968" w:type="dxa"/>
          </w:tcPr>
          <w:p w14:paraId="5025D48E">
            <w:pPr>
              <w:widowControl/>
              <w:shd w:val="clear" w:color="auto" w:fill="FFFFFF"/>
              <w:snapToGrid w:val="0"/>
              <w:spacing w:line="400" w:lineRule="exact"/>
              <w:ind w:firstLine="0" w:firstLineChars="0"/>
              <w:contextualSpacing/>
              <w:jc w:val="left"/>
              <w:rPr>
                <w:rFonts w:hint="eastAsia" w:cs="仿宋"/>
                <w:b w:val="0"/>
                <w:bCs w:val="0"/>
                <w:color w:val="000000"/>
                <w:kern w:val="0"/>
                <w:u w:val="none"/>
                <w:lang w:bidi="en-US"/>
              </w:rPr>
            </w:pPr>
            <w:r>
              <w:rPr>
                <w:rFonts w:hint="eastAsia" w:cs="仿宋"/>
                <w:b w:val="0"/>
                <w:bCs w:val="0"/>
                <w:color w:val="000000"/>
                <w:u w:val="none"/>
              </w:rPr>
              <w:t>具有良好的商业信誉和健全的财务会计制度（提供参加本次政府采购活动前一年内至少一个月的会计报表）</w:t>
            </w:r>
          </w:p>
        </w:tc>
        <w:tc>
          <w:tcPr>
            <w:tcW w:w="3018" w:type="dxa"/>
          </w:tcPr>
          <w:p w14:paraId="56581E15">
            <w:pPr>
              <w:snapToGrid w:val="0"/>
              <w:spacing w:line="400" w:lineRule="exact"/>
              <w:ind w:firstLine="560"/>
              <w:rPr>
                <w:rFonts w:hint="eastAsia" w:cs="仿宋"/>
                <w:b w:val="0"/>
                <w:bCs w:val="0"/>
                <w:color w:val="000000"/>
                <w:u w:val="none"/>
              </w:rPr>
            </w:pPr>
          </w:p>
        </w:tc>
      </w:tr>
      <w:tr w14:paraId="27E74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0B09DF2D">
            <w:pPr>
              <w:spacing w:line="400" w:lineRule="exact"/>
              <w:ind w:firstLine="0" w:firstLineChars="0"/>
              <w:rPr>
                <w:rFonts w:hint="eastAsia" w:cs="仿宋"/>
                <w:b w:val="0"/>
                <w:bCs w:val="0"/>
                <w:color w:val="000000"/>
                <w:u w:val="none"/>
              </w:rPr>
            </w:pPr>
            <w:r>
              <w:rPr>
                <w:rFonts w:hint="eastAsia" w:cs="仿宋"/>
                <w:b w:val="0"/>
                <w:bCs w:val="0"/>
                <w:color w:val="000000"/>
                <w:u w:val="none"/>
              </w:rPr>
              <w:t>具有履行合同所必需的设备和专业技术能力（根据项目需求提供相应的专业设备说明、技术管理人员情况申明、专业技术资质等）；</w:t>
            </w:r>
          </w:p>
        </w:tc>
        <w:tc>
          <w:tcPr>
            <w:tcW w:w="3018" w:type="dxa"/>
          </w:tcPr>
          <w:p w14:paraId="14C36ADC">
            <w:pPr>
              <w:snapToGrid w:val="0"/>
              <w:spacing w:line="400" w:lineRule="exact"/>
              <w:ind w:firstLine="560"/>
              <w:rPr>
                <w:rFonts w:hint="eastAsia" w:cs="仿宋"/>
                <w:b w:val="0"/>
                <w:bCs w:val="0"/>
                <w:color w:val="000000"/>
                <w:u w:val="none"/>
              </w:rPr>
            </w:pPr>
          </w:p>
        </w:tc>
      </w:tr>
      <w:tr w14:paraId="1237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68" w:type="dxa"/>
          </w:tcPr>
          <w:p w14:paraId="6E630A15">
            <w:pPr>
              <w:widowControl/>
              <w:shd w:val="clear" w:color="auto" w:fill="FFFFFF"/>
              <w:snapToGrid w:val="0"/>
              <w:spacing w:line="400" w:lineRule="exact"/>
              <w:ind w:firstLine="0" w:firstLineChars="0"/>
              <w:contextualSpacing/>
              <w:jc w:val="left"/>
              <w:rPr>
                <w:rFonts w:hint="eastAsia" w:cs="仿宋"/>
                <w:b w:val="0"/>
                <w:bCs w:val="0"/>
                <w:color w:val="000000"/>
                <w:u w:val="none"/>
              </w:rPr>
            </w:pPr>
            <w:r>
              <w:rPr>
                <w:rFonts w:hint="eastAsia" w:cs="仿宋"/>
                <w:b w:val="0"/>
                <w:bCs w:val="0"/>
                <w:color w:val="000000"/>
                <w:u w:val="none"/>
              </w:rPr>
              <w:t>有依法缴纳税收和社会保障资金的良好记录（提供参加政府采购活动前一年内至少一个月依法缴纳税收和社会保障资金的相关材料）；</w:t>
            </w:r>
          </w:p>
        </w:tc>
        <w:tc>
          <w:tcPr>
            <w:tcW w:w="3018" w:type="dxa"/>
          </w:tcPr>
          <w:p w14:paraId="6886B0C0">
            <w:pPr>
              <w:snapToGrid w:val="0"/>
              <w:spacing w:line="400" w:lineRule="exact"/>
              <w:ind w:firstLine="560"/>
              <w:rPr>
                <w:rFonts w:hint="eastAsia" w:cs="仿宋"/>
                <w:b w:val="0"/>
                <w:bCs w:val="0"/>
                <w:color w:val="000000"/>
                <w:u w:val="none"/>
              </w:rPr>
            </w:pPr>
          </w:p>
        </w:tc>
      </w:tr>
      <w:tr w14:paraId="17AD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68" w:type="dxa"/>
          </w:tcPr>
          <w:p w14:paraId="7D662DA8">
            <w:pPr>
              <w:widowControl/>
              <w:shd w:val="clear" w:color="auto" w:fill="FFFFFF"/>
              <w:snapToGrid w:val="0"/>
              <w:spacing w:line="400" w:lineRule="exact"/>
              <w:ind w:firstLine="0" w:firstLineChars="0"/>
              <w:contextualSpacing/>
              <w:jc w:val="left"/>
              <w:rPr>
                <w:rFonts w:hint="eastAsia" w:cs="仿宋"/>
                <w:b w:val="0"/>
                <w:bCs w:val="0"/>
                <w:color w:val="000000"/>
                <w:kern w:val="0"/>
                <w:u w:val="none"/>
                <w:lang w:bidi="en-US"/>
              </w:rPr>
            </w:pPr>
            <w:r>
              <w:rPr>
                <w:rFonts w:hint="eastAsia" w:cs="仿宋"/>
                <w:b w:val="0"/>
                <w:bCs w:val="0"/>
                <w:color w:val="000000"/>
                <w:u w:val="none"/>
              </w:rPr>
              <w:t>参加政府采购活动前三年内，在经营活动中没有重大违法记录（提供参加政府采购活动前三年内在经营活动中没有重大违法记录的书面声明）；</w:t>
            </w:r>
          </w:p>
        </w:tc>
        <w:tc>
          <w:tcPr>
            <w:tcW w:w="3018" w:type="dxa"/>
          </w:tcPr>
          <w:p w14:paraId="53F27633">
            <w:pPr>
              <w:snapToGrid w:val="0"/>
              <w:spacing w:line="400" w:lineRule="exact"/>
              <w:ind w:firstLine="560"/>
              <w:rPr>
                <w:rFonts w:hint="eastAsia" w:cs="仿宋"/>
                <w:b w:val="0"/>
                <w:bCs w:val="0"/>
                <w:color w:val="000000"/>
                <w:u w:val="none"/>
              </w:rPr>
            </w:pPr>
          </w:p>
        </w:tc>
      </w:tr>
      <w:tr w14:paraId="3BAE5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70449940">
            <w:pPr>
              <w:widowControl/>
              <w:shd w:val="clear" w:color="auto" w:fill="FFFFFF"/>
              <w:snapToGrid w:val="0"/>
              <w:spacing w:line="400" w:lineRule="exact"/>
              <w:ind w:firstLine="0" w:firstLineChars="0"/>
              <w:contextualSpacing/>
              <w:jc w:val="left"/>
              <w:rPr>
                <w:rFonts w:hint="eastAsia" w:cs="仿宋"/>
                <w:b w:val="0"/>
                <w:bCs w:val="0"/>
                <w:kern w:val="0"/>
                <w:u w:val="none"/>
              </w:rPr>
            </w:pPr>
            <w:r>
              <w:rPr>
                <w:rFonts w:hint="eastAsia" w:cs="仿宋"/>
                <w:b w:val="0"/>
                <w:bCs w:val="0"/>
                <w:color w:val="000000"/>
                <w:u w:val="none"/>
                <w:lang w:eastAsia="zh-CN"/>
              </w:rPr>
              <w:t>信用中国或</w:t>
            </w:r>
            <w:r>
              <w:rPr>
                <w:rFonts w:hint="eastAsia" w:cs="仿宋"/>
                <w:b w:val="0"/>
                <w:bCs w:val="0"/>
                <w:color w:val="000000"/>
                <w:u w:val="none"/>
              </w:rPr>
              <w:t>南京市政府采购</w:t>
            </w:r>
            <w:r>
              <w:rPr>
                <w:rFonts w:hint="eastAsia" w:cs="仿宋"/>
                <w:b w:val="0"/>
                <w:bCs w:val="0"/>
                <w:color w:val="000000"/>
                <w:u w:val="none"/>
                <w:lang w:eastAsia="zh-CN"/>
              </w:rPr>
              <w:t>服务商</w:t>
            </w:r>
            <w:r>
              <w:rPr>
                <w:rFonts w:hint="eastAsia" w:cs="仿宋"/>
                <w:b w:val="0"/>
                <w:bCs w:val="0"/>
                <w:color w:val="000000"/>
                <w:u w:val="none"/>
              </w:rPr>
              <w:t>信用记录表</w:t>
            </w:r>
          </w:p>
        </w:tc>
        <w:tc>
          <w:tcPr>
            <w:tcW w:w="3018" w:type="dxa"/>
          </w:tcPr>
          <w:p w14:paraId="12B81946">
            <w:pPr>
              <w:snapToGrid w:val="0"/>
              <w:spacing w:line="400" w:lineRule="exact"/>
              <w:ind w:firstLine="560"/>
              <w:rPr>
                <w:rFonts w:hint="eastAsia" w:cs="仿宋"/>
                <w:b w:val="0"/>
                <w:bCs w:val="0"/>
                <w:color w:val="000000"/>
                <w:u w:val="none"/>
              </w:rPr>
            </w:pPr>
          </w:p>
        </w:tc>
      </w:tr>
    </w:tbl>
    <w:p w14:paraId="18AB91D2">
      <w:pPr>
        <w:pStyle w:val="20"/>
        <w:spacing w:line="400" w:lineRule="exact"/>
        <w:rPr>
          <w:rFonts w:hint="eastAsia" w:ascii="仿宋" w:hAnsi="仿宋" w:eastAsia="仿宋" w:cs="仿宋"/>
          <w:sz w:val="28"/>
          <w:szCs w:val="28"/>
        </w:rPr>
      </w:pPr>
    </w:p>
    <w:p w14:paraId="0D883725">
      <w:pPr>
        <w:pStyle w:val="20"/>
        <w:spacing w:line="400" w:lineRule="exact"/>
        <w:rPr>
          <w:rFonts w:hint="eastAsia" w:ascii="仿宋" w:hAnsi="仿宋" w:eastAsia="仿宋" w:cs="仿宋"/>
          <w:b/>
          <w:bCs/>
          <w:sz w:val="28"/>
          <w:szCs w:val="28"/>
        </w:rPr>
      </w:pPr>
      <w:r>
        <w:rPr>
          <w:rFonts w:hint="eastAsia" w:ascii="仿宋" w:hAnsi="仿宋" w:eastAsia="仿宋" w:cs="仿宋"/>
          <w:b/>
          <w:bCs/>
          <w:sz w:val="28"/>
          <w:szCs w:val="28"/>
        </w:rPr>
        <w:t>附件1: 报价一览表</w:t>
      </w:r>
    </w:p>
    <w:p w14:paraId="3DB83BB7">
      <w:pPr>
        <w:pStyle w:val="20"/>
        <w:spacing w:line="400" w:lineRule="exact"/>
        <w:rPr>
          <w:rFonts w:hint="eastAsia" w:ascii="仿宋" w:hAnsi="仿宋" w:eastAsia="仿宋" w:cs="仿宋"/>
          <w:b/>
          <w:bCs/>
          <w:sz w:val="28"/>
          <w:szCs w:val="28"/>
        </w:rPr>
      </w:pPr>
      <w:r>
        <w:rPr>
          <w:rFonts w:hint="eastAsia" w:ascii="仿宋" w:hAnsi="仿宋" w:eastAsia="仿宋" w:cs="仿宋"/>
          <w:b/>
          <w:bCs/>
          <w:sz w:val="28"/>
          <w:szCs w:val="28"/>
        </w:rPr>
        <w:t>项目名称：</w:t>
      </w:r>
      <w:r>
        <w:rPr>
          <w:rFonts w:hint="eastAsia" w:ascii="仿宋" w:hAnsi="仿宋" w:eastAsia="仿宋" w:cs="仿宋"/>
          <w:b/>
          <w:bCs/>
          <w:sz w:val="28"/>
          <w:szCs w:val="28"/>
          <w:lang w:eastAsia="zh-CN"/>
        </w:rPr>
        <w:t>环保自行监测</w:t>
      </w:r>
      <w:r>
        <w:rPr>
          <w:rFonts w:hint="eastAsia" w:ascii="仿宋" w:hAnsi="仿宋" w:eastAsia="仿宋" w:cs="仿宋"/>
          <w:b/>
          <w:bCs/>
          <w:sz w:val="28"/>
          <w:szCs w:val="28"/>
        </w:rPr>
        <w:t>项目</w:t>
      </w:r>
    </w:p>
    <w:p w14:paraId="5FD7BAF0">
      <w:pPr>
        <w:pStyle w:val="20"/>
        <w:spacing w:line="400" w:lineRule="exact"/>
        <w:rPr>
          <w:rFonts w:hint="eastAsia" w:ascii="仿宋" w:hAnsi="仿宋" w:eastAsia="仿宋" w:cs="仿宋"/>
          <w:b/>
          <w:bCs/>
          <w:sz w:val="28"/>
          <w:szCs w:val="28"/>
          <w:lang w:eastAsia="zh-CN"/>
        </w:rPr>
      </w:pPr>
      <w:r>
        <w:rPr>
          <w:rFonts w:hint="eastAsia" w:ascii="仿宋" w:hAnsi="仿宋" w:eastAsia="仿宋" w:cs="仿宋"/>
          <w:b/>
          <w:bCs/>
          <w:sz w:val="28"/>
          <w:szCs w:val="28"/>
        </w:rPr>
        <w:t>项目编号：LSRY-ZB2024-</w:t>
      </w:r>
      <w:r>
        <w:rPr>
          <w:rFonts w:hint="eastAsia" w:ascii="仿宋" w:hAnsi="仿宋" w:eastAsia="仿宋" w:cs="仿宋"/>
          <w:b/>
          <w:bCs/>
          <w:sz w:val="28"/>
          <w:szCs w:val="28"/>
          <w:lang w:eastAsia="zh-CN"/>
        </w:rPr>
        <w:t>Z00</w:t>
      </w:r>
      <w:r>
        <w:rPr>
          <w:rFonts w:hint="eastAsia" w:ascii="仿宋" w:hAnsi="仿宋" w:eastAsia="仿宋" w:cs="仿宋"/>
          <w:b/>
          <w:bCs/>
          <w:sz w:val="28"/>
          <w:szCs w:val="28"/>
          <w:lang w:val="en-US" w:eastAsia="zh-CN"/>
        </w:rPr>
        <w:t>8</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5"/>
        <w:gridCol w:w="4050"/>
        <w:gridCol w:w="3021"/>
      </w:tblGrid>
      <w:tr w14:paraId="1EE5E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15815E5D">
            <w:pPr>
              <w:spacing w:line="400" w:lineRule="exact"/>
              <w:ind w:left="0" w:leftChars="0" w:firstLine="280" w:firstLineChars="100"/>
              <w:rPr>
                <w:rFonts w:hint="eastAsia" w:eastAsia="仿宋" w:cs="仿宋"/>
                <w:b w:val="0"/>
                <w:bCs w:val="0"/>
                <w:highlight w:val="none"/>
                <w:u w:val="none"/>
                <w:vertAlign w:val="baseline"/>
                <w:lang w:eastAsia="zh-CN"/>
              </w:rPr>
            </w:pPr>
            <w:r>
              <w:rPr>
                <w:rFonts w:hint="eastAsia" w:cs="仿宋"/>
                <w:b w:val="0"/>
                <w:bCs w:val="0"/>
                <w:highlight w:val="none"/>
                <w:u w:val="none"/>
                <w:vertAlign w:val="baseline"/>
                <w:lang w:eastAsia="zh-CN"/>
              </w:rPr>
              <w:t>序号</w:t>
            </w:r>
          </w:p>
        </w:tc>
        <w:tc>
          <w:tcPr>
            <w:tcW w:w="4050" w:type="dxa"/>
          </w:tcPr>
          <w:p w14:paraId="5A393979">
            <w:pPr>
              <w:spacing w:line="400" w:lineRule="exact"/>
              <w:ind w:left="0" w:leftChars="0" w:firstLine="280" w:firstLineChars="100"/>
              <w:rPr>
                <w:rFonts w:hint="eastAsia" w:eastAsia="仿宋" w:cs="仿宋"/>
                <w:b w:val="0"/>
                <w:bCs w:val="0"/>
                <w:highlight w:val="none"/>
                <w:u w:val="none"/>
                <w:vertAlign w:val="baseline"/>
                <w:lang w:eastAsia="zh-CN"/>
              </w:rPr>
            </w:pPr>
            <w:r>
              <w:rPr>
                <w:rFonts w:hint="eastAsia" w:cs="仿宋"/>
                <w:b w:val="0"/>
                <w:bCs w:val="0"/>
                <w:highlight w:val="none"/>
                <w:u w:val="none"/>
                <w:vertAlign w:val="baseline"/>
                <w:lang w:eastAsia="zh-CN"/>
              </w:rPr>
              <w:t>项目名称</w:t>
            </w:r>
          </w:p>
        </w:tc>
        <w:tc>
          <w:tcPr>
            <w:tcW w:w="3021" w:type="dxa"/>
          </w:tcPr>
          <w:p w14:paraId="72967474">
            <w:pPr>
              <w:spacing w:line="400" w:lineRule="exact"/>
              <w:ind w:left="0" w:leftChars="0" w:firstLine="560" w:firstLineChars="200"/>
              <w:rPr>
                <w:rFonts w:hint="eastAsia" w:eastAsia="仿宋" w:cs="仿宋"/>
                <w:b w:val="0"/>
                <w:bCs w:val="0"/>
                <w:highlight w:val="none"/>
                <w:u w:val="none"/>
                <w:vertAlign w:val="baseline"/>
                <w:lang w:val="en-US" w:eastAsia="zh-CN"/>
              </w:rPr>
            </w:pPr>
            <w:r>
              <w:rPr>
                <w:rFonts w:hint="eastAsia" w:cs="仿宋"/>
                <w:b w:val="0"/>
                <w:bCs w:val="0"/>
                <w:highlight w:val="none"/>
                <w:u w:val="none"/>
                <w:vertAlign w:val="baseline"/>
                <w:lang w:eastAsia="zh-CN"/>
              </w:rPr>
              <w:t>单价（元</w:t>
            </w:r>
            <w:r>
              <w:rPr>
                <w:rFonts w:hint="eastAsia" w:cs="仿宋"/>
                <w:b w:val="0"/>
                <w:bCs w:val="0"/>
                <w:highlight w:val="none"/>
                <w:u w:val="none"/>
                <w:vertAlign w:val="baseline"/>
                <w:lang w:val="en-US" w:eastAsia="zh-CN"/>
              </w:rPr>
              <w:t>/年</w:t>
            </w:r>
            <w:r>
              <w:rPr>
                <w:rFonts w:hint="eastAsia" w:cs="仿宋"/>
                <w:b w:val="0"/>
                <w:bCs w:val="0"/>
                <w:highlight w:val="none"/>
                <w:u w:val="none"/>
                <w:vertAlign w:val="baseline"/>
                <w:lang w:eastAsia="zh-CN"/>
              </w:rPr>
              <w:t>）</w:t>
            </w:r>
          </w:p>
        </w:tc>
      </w:tr>
      <w:tr w14:paraId="5FA57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440EFB85">
            <w:pPr>
              <w:spacing w:line="400" w:lineRule="exact"/>
              <w:ind w:left="0" w:leftChars="0" w:firstLine="560" w:firstLineChars="200"/>
              <w:rPr>
                <w:rFonts w:hint="eastAsia" w:eastAsia="仿宋" w:cs="仿宋"/>
                <w:b w:val="0"/>
                <w:bCs w:val="0"/>
                <w:highlight w:val="none"/>
                <w:u w:val="none"/>
                <w:vertAlign w:val="baseline"/>
                <w:lang w:val="en-US" w:eastAsia="zh-CN"/>
              </w:rPr>
            </w:pPr>
            <w:r>
              <w:rPr>
                <w:rFonts w:hint="eastAsia" w:cs="仿宋"/>
                <w:b w:val="0"/>
                <w:bCs w:val="0"/>
                <w:highlight w:val="none"/>
                <w:u w:val="none"/>
                <w:vertAlign w:val="baseline"/>
                <w:lang w:val="en-US" w:eastAsia="zh-CN"/>
              </w:rPr>
              <w:t>1</w:t>
            </w:r>
          </w:p>
        </w:tc>
        <w:tc>
          <w:tcPr>
            <w:tcW w:w="4050" w:type="dxa"/>
          </w:tcPr>
          <w:p w14:paraId="38D4A752">
            <w:pPr>
              <w:spacing w:line="400" w:lineRule="exact"/>
              <w:ind w:left="0" w:leftChars="0" w:firstLine="0" w:firstLineChars="0"/>
              <w:rPr>
                <w:rFonts w:hint="eastAsia" w:eastAsia="仿宋" w:cs="仿宋"/>
                <w:b w:val="0"/>
                <w:bCs w:val="0"/>
                <w:highlight w:val="none"/>
                <w:u w:val="none"/>
                <w:vertAlign w:val="baseline"/>
                <w:lang w:val="en-US" w:eastAsia="zh-CN"/>
              </w:rPr>
            </w:pPr>
            <w:r>
              <w:rPr>
                <w:rFonts w:hint="eastAsia" w:cs="仿宋"/>
                <w:b w:val="0"/>
                <w:bCs w:val="0"/>
                <w:highlight w:val="none"/>
                <w:u w:val="none"/>
                <w:vertAlign w:val="baseline"/>
                <w:lang w:eastAsia="zh-CN"/>
              </w:rPr>
              <w:t>环保自行监测项目</w:t>
            </w:r>
          </w:p>
        </w:tc>
        <w:tc>
          <w:tcPr>
            <w:tcW w:w="3021" w:type="dxa"/>
          </w:tcPr>
          <w:p w14:paraId="7709C25E">
            <w:pPr>
              <w:spacing w:line="400" w:lineRule="exact"/>
              <w:rPr>
                <w:rFonts w:hint="eastAsia" w:cs="仿宋"/>
                <w:b w:val="0"/>
                <w:bCs w:val="0"/>
                <w:highlight w:val="none"/>
                <w:u w:val="none"/>
                <w:vertAlign w:val="baseline"/>
              </w:rPr>
            </w:pPr>
          </w:p>
        </w:tc>
      </w:tr>
      <w:tr w14:paraId="612F6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345C9F26">
            <w:pPr>
              <w:spacing w:line="400" w:lineRule="exact"/>
              <w:ind w:left="0" w:leftChars="0" w:firstLine="0" w:firstLineChars="0"/>
              <w:rPr>
                <w:rFonts w:hint="eastAsia" w:cs="仿宋"/>
                <w:b w:val="0"/>
                <w:bCs w:val="0"/>
                <w:highlight w:val="none"/>
                <w:u w:val="none"/>
                <w:vertAlign w:val="baseline"/>
                <w:lang w:val="en-US" w:eastAsia="zh-CN"/>
              </w:rPr>
            </w:pPr>
            <w:r>
              <w:rPr>
                <w:rFonts w:hint="eastAsia" w:cs="仿宋"/>
                <w:b w:val="0"/>
                <w:bCs w:val="0"/>
                <w:highlight w:val="none"/>
                <w:u w:val="none"/>
                <w:vertAlign w:val="baseline"/>
                <w:lang w:val="en-US" w:eastAsia="zh-CN"/>
              </w:rPr>
              <w:t>服务期限</w:t>
            </w:r>
          </w:p>
        </w:tc>
        <w:tc>
          <w:tcPr>
            <w:tcW w:w="7071" w:type="dxa"/>
            <w:gridSpan w:val="2"/>
          </w:tcPr>
          <w:p w14:paraId="0D1A5269">
            <w:pPr>
              <w:spacing w:line="400" w:lineRule="exact"/>
              <w:rPr>
                <w:rFonts w:hint="eastAsia" w:eastAsia="仿宋" w:cs="仿宋"/>
                <w:b w:val="0"/>
                <w:bCs w:val="0"/>
                <w:highlight w:val="none"/>
                <w:u w:val="none"/>
                <w:vertAlign w:val="baseline"/>
                <w:lang w:eastAsia="zh-CN"/>
              </w:rPr>
            </w:pPr>
            <w:r>
              <w:rPr>
                <w:rFonts w:hint="eastAsia" w:cs="仿宋"/>
                <w:b w:val="0"/>
                <w:bCs w:val="0"/>
                <w:highlight w:val="none"/>
                <w:u w:val="none"/>
                <w:vertAlign w:val="baseline"/>
                <w:lang w:eastAsia="zh-CN"/>
              </w:rPr>
              <w:t>一招三年，合同一年一签</w:t>
            </w:r>
          </w:p>
        </w:tc>
      </w:tr>
    </w:tbl>
    <w:p w14:paraId="492D96F1">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firstLine="0" w:firstLineChars="0"/>
        <w:rPr>
          <w:rFonts w:hint="eastAsia" w:cs="仿宋"/>
          <w:b w:val="0"/>
          <w:bCs w:val="0"/>
          <w:u w:val="none"/>
          <w:lang w:eastAsia="zh-CN"/>
        </w:rPr>
      </w:pPr>
      <w:r>
        <w:rPr>
          <w:rFonts w:hint="eastAsia" w:cs="仿宋"/>
          <w:b w:val="0"/>
          <w:bCs w:val="0"/>
          <w:highlight w:val="none"/>
          <w:u w:val="none"/>
          <w:lang w:eastAsia="zh-CN"/>
        </w:rPr>
        <w:t>注：本报价包含环保自行监测技术服务项目的采样费、分析费、劳务费、交通费、报告编辑费和税金等一切所需费用</w:t>
      </w:r>
    </w:p>
    <w:p w14:paraId="60EB9DAD">
      <w:pPr>
        <w:spacing w:line="400" w:lineRule="exact"/>
        <w:ind w:left="0" w:leftChars="0" w:firstLine="560" w:firstLineChars="200"/>
        <w:rPr>
          <w:rFonts w:hint="eastAsia" w:cs="仿宋"/>
          <w:b w:val="0"/>
          <w:bCs w:val="0"/>
          <w:u w:val="none"/>
        </w:rPr>
      </w:pPr>
    </w:p>
    <w:p w14:paraId="38086D9A">
      <w:pPr>
        <w:spacing w:line="400" w:lineRule="exact"/>
        <w:ind w:left="0" w:leftChars="0" w:firstLine="560" w:firstLineChars="200"/>
        <w:rPr>
          <w:rFonts w:hint="eastAsia" w:cs="仿宋"/>
          <w:b w:val="0"/>
          <w:bCs w:val="0"/>
          <w:u w:val="none"/>
        </w:rPr>
      </w:pPr>
      <w:r>
        <w:rPr>
          <w:rFonts w:hint="eastAsia" w:cs="仿宋"/>
          <w:b w:val="0"/>
          <w:bCs w:val="0"/>
          <w:u w:val="none"/>
        </w:rPr>
        <w:t>法定代表人或代理人（签字或盖章）：</w:t>
      </w:r>
    </w:p>
    <w:p w14:paraId="36618DFA">
      <w:pPr>
        <w:spacing w:line="400" w:lineRule="exact"/>
        <w:ind w:firstLine="560"/>
        <w:rPr>
          <w:rFonts w:hint="eastAsia" w:cs="仿宋"/>
          <w:b w:val="0"/>
          <w:bCs w:val="0"/>
          <w:u w:val="none"/>
        </w:rPr>
      </w:pPr>
      <w:r>
        <w:rPr>
          <w:rFonts w:hint="eastAsia" w:cs="仿宋"/>
          <w:b w:val="0"/>
          <w:bCs w:val="0"/>
          <w:u w:val="none"/>
        </w:rPr>
        <w:t>单位名称：</w:t>
      </w:r>
    </w:p>
    <w:p w14:paraId="4B73194F">
      <w:pPr>
        <w:spacing w:line="400" w:lineRule="exact"/>
        <w:ind w:firstLine="560"/>
        <w:rPr>
          <w:rFonts w:hint="eastAsia" w:eastAsia="仿宋" w:cs="仿宋"/>
          <w:b w:val="0"/>
          <w:bCs w:val="0"/>
          <w:u w:val="none"/>
          <w:lang w:eastAsia="zh-CN"/>
        </w:rPr>
        <w:sectPr>
          <w:pgSz w:w="11906" w:h="16838"/>
          <w:pgMar w:top="1157" w:right="839" w:bottom="1157" w:left="839" w:header="851" w:footer="992" w:gutter="0"/>
          <w:cols w:space="720" w:num="1"/>
          <w:docGrid w:type="lines" w:linePitch="312" w:charSpace="0"/>
        </w:sectPr>
      </w:pPr>
      <w:r>
        <w:rPr>
          <w:rFonts w:hint="eastAsia" w:cs="仿宋"/>
          <w:b w:val="0"/>
          <w:bCs w:val="0"/>
          <w:u w:val="none"/>
        </w:rPr>
        <w:t>报价日期</w:t>
      </w:r>
      <w:r>
        <w:rPr>
          <w:rFonts w:hint="eastAsia" w:cs="仿宋"/>
          <w:b w:val="0"/>
          <w:bCs w:val="0"/>
          <w:u w:val="none"/>
          <w:lang w:eastAsia="zh-CN"/>
        </w:rPr>
        <w:t>：</w:t>
      </w:r>
    </w:p>
    <w:p w14:paraId="2098701B">
      <w:pPr>
        <w:pStyle w:val="20"/>
        <w:spacing w:line="400" w:lineRule="exact"/>
        <w:rPr>
          <w:rFonts w:hint="eastAsia" w:ascii="仿宋" w:hAnsi="仿宋" w:eastAsia="仿宋" w:cs="仿宋"/>
          <w:b/>
          <w:bCs/>
          <w:sz w:val="28"/>
          <w:szCs w:val="28"/>
          <w:lang w:val="zh-CN"/>
        </w:rPr>
      </w:pPr>
      <w:r>
        <w:rPr>
          <w:rFonts w:hint="eastAsia" w:ascii="仿宋" w:hAnsi="仿宋" w:eastAsia="仿宋" w:cs="仿宋"/>
          <w:b/>
          <w:bCs/>
          <w:sz w:val="28"/>
          <w:szCs w:val="28"/>
        </w:rPr>
        <w:t xml:space="preserve">附件2： </w:t>
      </w:r>
      <w:r>
        <w:rPr>
          <w:rFonts w:hint="eastAsia" w:ascii="仿宋" w:hAnsi="仿宋" w:eastAsia="仿宋" w:cs="仿宋"/>
          <w:b/>
          <w:bCs/>
          <w:sz w:val="28"/>
          <w:szCs w:val="28"/>
          <w:lang w:eastAsia="zh-CN"/>
        </w:rPr>
        <w:t>服务</w:t>
      </w:r>
      <w:r>
        <w:rPr>
          <w:rFonts w:hint="eastAsia" w:ascii="仿宋" w:hAnsi="仿宋" w:eastAsia="仿宋" w:cs="仿宋"/>
          <w:b/>
          <w:bCs/>
          <w:sz w:val="28"/>
          <w:szCs w:val="28"/>
        </w:rPr>
        <w:t>条款</w:t>
      </w:r>
      <w:r>
        <w:rPr>
          <w:rFonts w:hint="eastAsia" w:ascii="仿宋" w:hAnsi="仿宋" w:eastAsia="仿宋" w:cs="仿宋"/>
          <w:b/>
          <w:bCs/>
          <w:sz w:val="28"/>
          <w:szCs w:val="28"/>
          <w:lang w:val="zh-CN"/>
        </w:rPr>
        <w:t>偏离表格式</w:t>
      </w:r>
    </w:p>
    <w:p w14:paraId="131190B5">
      <w:pPr>
        <w:spacing w:line="400" w:lineRule="exact"/>
        <w:ind w:firstLine="4200" w:firstLineChars="1500"/>
        <w:rPr>
          <w:rFonts w:hint="eastAsia" w:cs="仿宋"/>
          <w:b w:val="0"/>
          <w:bCs w:val="0"/>
          <w:u w:val="none"/>
          <w:lang w:val="zh-CN"/>
        </w:rPr>
      </w:pPr>
      <w:r>
        <w:rPr>
          <w:rFonts w:hint="eastAsia" w:cs="仿宋"/>
          <w:b w:val="0"/>
          <w:bCs w:val="0"/>
          <w:u w:val="none"/>
          <w:lang w:val="zh-CN"/>
        </w:rPr>
        <w:t>服务条款偏离表</w:t>
      </w:r>
    </w:p>
    <w:tbl>
      <w:tblPr>
        <w:tblStyle w:val="16"/>
        <w:tblW w:w="11238" w:type="dxa"/>
        <w:jc w:val="center"/>
        <w:tblLayout w:type="fixed"/>
        <w:tblCellMar>
          <w:top w:w="0" w:type="dxa"/>
          <w:left w:w="0" w:type="dxa"/>
          <w:bottom w:w="0" w:type="dxa"/>
          <w:right w:w="0" w:type="dxa"/>
        </w:tblCellMar>
      </w:tblPr>
      <w:tblGrid>
        <w:gridCol w:w="719"/>
        <w:gridCol w:w="2762"/>
        <w:gridCol w:w="1425"/>
        <w:gridCol w:w="1857"/>
        <w:gridCol w:w="790"/>
        <w:gridCol w:w="1200"/>
        <w:gridCol w:w="2485"/>
      </w:tblGrid>
      <w:tr w14:paraId="210027DD">
        <w:tblPrEx>
          <w:tblCellMar>
            <w:top w:w="0" w:type="dxa"/>
            <w:left w:w="0" w:type="dxa"/>
            <w:bottom w:w="0" w:type="dxa"/>
            <w:right w:w="0" w:type="dxa"/>
          </w:tblCellMar>
        </w:tblPrEx>
        <w:trPr>
          <w:trHeight w:val="90" w:hRule="atLeast"/>
          <w:jc w:val="center"/>
        </w:trPr>
        <w:tc>
          <w:tcPr>
            <w:tcW w:w="6763" w:type="dxa"/>
            <w:gridSpan w:val="4"/>
            <w:tcBorders>
              <w:top w:val="nil"/>
              <w:left w:val="nil"/>
              <w:bottom w:val="single" w:color="auto" w:sz="6" w:space="0"/>
              <w:right w:val="nil"/>
            </w:tcBorders>
            <w:vAlign w:val="center"/>
          </w:tcPr>
          <w:p w14:paraId="23E91B84">
            <w:pPr>
              <w:spacing w:line="400" w:lineRule="exact"/>
              <w:ind w:firstLine="560"/>
              <w:rPr>
                <w:rFonts w:hint="eastAsia" w:cs="仿宋"/>
                <w:b w:val="0"/>
                <w:bCs w:val="0"/>
                <w:u w:val="none"/>
                <w:lang w:val="zh-CN"/>
              </w:rPr>
            </w:pPr>
            <w:r>
              <w:rPr>
                <w:rFonts w:hint="eastAsia" w:cs="仿宋"/>
                <w:b w:val="0"/>
                <w:bCs w:val="0"/>
                <w:u w:val="none"/>
                <w:lang w:val="zh-CN"/>
              </w:rPr>
              <w:t>项目名称：</w:t>
            </w:r>
          </w:p>
        </w:tc>
        <w:tc>
          <w:tcPr>
            <w:tcW w:w="4475" w:type="dxa"/>
            <w:gridSpan w:val="3"/>
            <w:tcBorders>
              <w:top w:val="nil"/>
              <w:left w:val="nil"/>
              <w:bottom w:val="single" w:color="auto" w:sz="6" w:space="0"/>
              <w:right w:val="nil"/>
            </w:tcBorders>
            <w:vAlign w:val="center"/>
          </w:tcPr>
          <w:p w14:paraId="272DBEDF">
            <w:pPr>
              <w:spacing w:line="400" w:lineRule="exact"/>
              <w:ind w:firstLine="0" w:firstLineChars="0"/>
              <w:rPr>
                <w:rFonts w:hint="eastAsia" w:cs="仿宋"/>
                <w:b w:val="0"/>
                <w:bCs w:val="0"/>
                <w:kern w:val="0"/>
                <w:u w:val="none"/>
                <w:lang w:val="zh-CN"/>
              </w:rPr>
            </w:pPr>
            <w:r>
              <w:rPr>
                <w:rFonts w:hint="eastAsia" w:cs="仿宋"/>
                <w:b w:val="0"/>
                <w:bCs w:val="0"/>
                <w:kern w:val="0"/>
                <w:u w:val="none"/>
                <w:lang w:val="zh-CN"/>
              </w:rPr>
              <w:t>项目编号：</w:t>
            </w:r>
            <w:r>
              <w:rPr>
                <w:rFonts w:hint="eastAsia" w:cs="仿宋"/>
                <w:b w:val="0"/>
                <w:bCs w:val="0"/>
                <w:u w:val="none"/>
                <w:lang w:val="zh-CN"/>
              </w:rPr>
              <w:t xml:space="preserve">              </w:t>
            </w:r>
          </w:p>
        </w:tc>
      </w:tr>
      <w:tr w14:paraId="0F772434">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E05FB44">
            <w:pPr>
              <w:spacing w:line="400" w:lineRule="exact"/>
              <w:ind w:firstLine="0" w:firstLineChars="0"/>
              <w:rPr>
                <w:rFonts w:hint="eastAsia" w:cs="仿宋"/>
                <w:b w:val="0"/>
                <w:bCs w:val="0"/>
                <w:u w:val="none"/>
                <w:lang w:val="zh-CN"/>
              </w:rPr>
            </w:pPr>
            <w:r>
              <w:rPr>
                <w:rFonts w:hint="eastAsia" w:cs="仿宋"/>
                <w:b w:val="0"/>
                <w:bCs w:val="0"/>
                <w:u w:val="none"/>
                <w:lang w:val="zh-CN"/>
              </w:rPr>
              <w:t>序号</w:t>
            </w:r>
          </w:p>
        </w:tc>
        <w:tc>
          <w:tcPr>
            <w:tcW w:w="2762" w:type="dxa"/>
            <w:tcBorders>
              <w:top w:val="single" w:color="auto" w:sz="6" w:space="0"/>
              <w:left w:val="single" w:color="auto" w:sz="6" w:space="0"/>
              <w:bottom w:val="single" w:color="auto" w:sz="6" w:space="0"/>
              <w:right w:val="single" w:color="auto" w:sz="6" w:space="0"/>
            </w:tcBorders>
            <w:vAlign w:val="center"/>
          </w:tcPr>
          <w:p w14:paraId="66851919">
            <w:pPr>
              <w:spacing w:line="400" w:lineRule="exact"/>
              <w:ind w:firstLine="0" w:firstLineChars="0"/>
              <w:rPr>
                <w:rFonts w:hint="eastAsia" w:cs="仿宋"/>
                <w:b w:val="0"/>
                <w:bCs w:val="0"/>
                <w:u w:val="none"/>
                <w:lang w:val="zh-CN"/>
              </w:rPr>
            </w:pPr>
            <w:r>
              <w:rPr>
                <w:rFonts w:hint="eastAsia" w:cs="仿宋"/>
                <w:b w:val="0"/>
                <w:bCs w:val="0"/>
                <w:u w:val="none"/>
                <w:lang w:val="zh-CN"/>
              </w:rPr>
              <w:t>询价文件条目号</w:t>
            </w:r>
          </w:p>
        </w:tc>
        <w:tc>
          <w:tcPr>
            <w:tcW w:w="1425" w:type="dxa"/>
            <w:tcBorders>
              <w:top w:val="single" w:color="auto" w:sz="6" w:space="0"/>
              <w:left w:val="single" w:color="auto" w:sz="6" w:space="0"/>
              <w:bottom w:val="single" w:color="auto" w:sz="6" w:space="0"/>
              <w:right w:val="single" w:color="auto" w:sz="6" w:space="0"/>
            </w:tcBorders>
            <w:vAlign w:val="center"/>
          </w:tcPr>
          <w:p w14:paraId="1B20B32B">
            <w:pPr>
              <w:spacing w:line="400" w:lineRule="exact"/>
              <w:ind w:firstLine="0" w:firstLineChars="0"/>
              <w:rPr>
                <w:rFonts w:hint="eastAsia" w:cs="仿宋"/>
                <w:b w:val="0"/>
                <w:bCs w:val="0"/>
                <w:u w:val="none"/>
                <w:lang w:val="zh-CN"/>
              </w:rPr>
            </w:pPr>
            <w:r>
              <w:rPr>
                <w:rFonts w:hint="eastAsia" w:cs="仿宋"/>
                <w:b w:val="0"/>
                <w:bCs w:val="0"/>
                <w:u w:val="none"/>
                <w:lang w:val="zh-CN"/>
              </w:rPr>
              <w:t>询价要求</w:t>
            </w: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0863F5A">
            <w:pPr>
              <w:spacing w:line="400" w:lineRule="exact"/>
              <w:ind w:firstLine="0" w:firstLineChars="0"/>
              <w:rPr>
                <w:rFonts w:hint="eastAsia" w:cs="仿宋"/>
                <w:b w:val="0"/>
                <w:bCs w:val="0"/>
                <w:u w:val="none"/>
              </w:rPr>
            </w:pPr>
            <w:r>
              <w:rPr>
                <w:rFonts w:hint="eastAsia" w:cs="仿宋"/>
                <w:b w:val="0"/>
                <w:bCs w:val="0"/>
                <w:u w:val="none"/>
                <w:lang w:val="zh-CN"/>
              </w:rPr>
              <w:t>服务商响应</w:t>
            </w:r>
            <w:r>
              <w:rPr>
                <w:rFonts w:hint="eastAsia" w:cs="仿宋"/>
                <w:b w:val="0"/>
                <w:bCs w:val="0"/>
                <w:u w:val="none"/>
              </w:rPr>
              <w:t>/偏离</w:t>
            </w:r>
          </w:p>
        </w:tc>
        <w:tc>
          <w:tcPr>
            <w:tcW w:w="1200" w:type="dxa"/>
            <w:tcBorders>
              <w:top w:val="single" w:color="auto" w:sz="6" w:space="0"/>
              <w:left w:val="single" w:color="auto" w:sz="6" w:space="0"/>
              <w:bottom w:val="single" w:color="auto" w:sz="6" w:space="0"/>
              <w:right w:val="single" w:color="auto" w:sz="6" w:space="0"/>
            </w:tcBorders>
            <w:vAlign w:val="center"/>
          </w:tcPr>
          <w:p w14:paraId="49394B84">
            <w:pPr>
              <w:spacing w:line="400" w:lineRule="exact"/>
              <w:ind w:firstLine="0" w:firstLineChars="0"/>
              <w:rPr>
                <w:rFonts w:hint="eastAsia" w:cs="仿宋"/>
                <w:b w:val="0"/>
                <w:bCs w:val="0"/>
                <w:u w:val="none"/>
                <w:lang w:val="zh-CN"/>
              </w:rPr>
            </w:pPr>
            <w:r>
              <w:rPr>
                <w:rFonts w:hint="eastAsia" w:cs="仿宋"/>
                <w:b w:val="0"/>
                <w:bCs w:val="0"/>
                <w:u w:val="none"/>
                <w:lang w:val="zh-CN"/>
              </w:rPr>
              <w:t>说明</w:t>
            </w:r>
          </w:p>
        </w:tc>
        <w:tc>
          <w:tcPr>
            <w:tcW w:w="2485" w:type="dxa"/>
            <w:tcBorders>
              <w:top w:val="single" w:color="auto" w:sz="6" w:space="0"/>
              <w:left w:val="single" w:color="auto" w:sz="6" w:space="0"/>
              <w:bottom w:val="single" w:color="auto" w:sz="6" w:space="0"/>
              <w:right w:val="single" w:color="auto" w:sz="6" w:space="0"/>
            </w:tcBorders>
            <w:vAlign w:val="center"/>
          </w:tcPr>
          <w:p w14:paraId="3612EF67">
            <w:pPr>
              <w:spacing w:line="400" w:lineRule="exact"/>
              <w:ind w:firstLine="0" w:firstLineChars="0"/>
              <w:rPr>
                <w:rFonts w:hint="eastAsia" w:cs="仿宋"/>
                <w:b w:val="0"/>
                <w:bCs w:val="0"/>
                <w:u w:val="none"/>
                <w:lang w:val="zh-CN"/>
              </w:rPr>
            </w:pPr>
            <w:r>
              <w:rPr>
                <w:rFonts w:hint="eastAsia" w:cs="仿宋"/>
                <w:b w:val="0"/>
                <w:bCs w:val="0"/>
                <w:u w:val="none"/>
                <w:lang w:val="zh-CN"/>
              </w:rPr>
              <w:t>证明材料对应页码</w:t>
            </w:r>
          </w:p>
        </w:tc>
      </w:tr>
      <w:tr w14:paraId="1CCA80F8">
        <w:tblPrEx>
          <w:tblCellMar>
            <w:top w:w="0" w:type="dxa"/>
            <w:left w:w="0" w:type="dxa"/>
            <w:bottom w:w="0" w:type="dxa"/>
            <w:right w:w="0" w:type="dxa"/>
          </w:tblCellMar>
        </w:tblPrEx>
        <w:trPr>
          <w:trHeight w:val="689"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8B493F0">
            <w:pPr>
              <w:spacing w:line="400" w:lineRule="exact"/>
              <w:ind w:firstLine="560"/>
              <w:rPr>
                <w:rFonts w:hint="eastAsia" w:cs="仿宋"/>
                <w:b w:val="0"/>
                <w:bCs w:val="0"/>
                <w:u w:val="none"/>
              </w:rPr>
            </w:pPr>
            <w:r>
              <w:rPr>
                <w:rFonts w:hint="eastAsia" w:cs="仿宋"/>
                <w:b w:val="0"/>
                <w:bCs w:val="0"/>
                <w:u w:val="none"/>
              </w:rPr>
              <w:t>1</w:t>
            </w:r>
          </w:p>
        </w:tc>
        <w:tc>
          <w:tcPr>
            <w:tcW w:w="2762" w:type="dxa"/>
            <w:tcBorders>
              <w:top w:val="single" w:color="auto" w:sz="6" w:space="0"/>
              <w:left w:val="single" w:color="auto" w:sz="6" w:space="0"/>
              <w:bottom w:val="single" w:color="auto" w:sz="6" w:space="0"/>
              <w:right w:val="single" w:color="auto" w:sz="6" w:space="0"/>
            </w:tcBorders>
            <w:vAlign w:val="center"/>
          </w:tcPr>
          <w:p w14:paraId="729C4F1A">
            <w:pPr>
              <w:spacing w:line="400" w:lineRule="exact"/>
              <w:ind w:firstLine="0" w:firstLineChars="0"/>
              <w:rPr>
                <w:rFonts w:hint="eastAsia" w:cs="仿宋"/>
                <w:b w:val="0"/>
                <w:bCs w:val="0"/>
                <w:u w:val="none"/>
                <w:lang w:val="zh-CN"/>
              </w:rPr>
            </w:pPr>
            <w:r>
              <w:rPr>
                <w:rFonts w:hint="eastAsia" w:cs="仿宋"/>
                <w:b w:val="0"/>
                <w:bCs w:val="0"/>
                <w:u w:val="none"/>
              </w:rPr>
              <w:t>服务标准及要求，请根据采购文件要求逐条列举并逐条响应，行数不够自行增加。</w:t>
            </w:r>
          </w:p>
        </w:tc>
        <w:tc>
          <w:tcPr>
            <w:tcW w:w="1425" w:type="dxa"/>
            <w:tcBorders>
              <w:top w:val="single" w:color="auto" w:sz="6" w:space="0"/>
              <w:left w:val="single" w:color="auto" w:sz="6" w:space="0"/>
              <w:bottom w:val="single" w:color="auto" w:sz="6" w:space="0"/>
              <w:right w:val="single" w:color="auto" w:sz="6" w:space="0"/>
            </w:tcBorders>
            <w:vAlign w:val="center"/>
          </w:tcPr>
          <w:p w14:paraId="71938E61">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44CA1BD8">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89B0A02">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0EDBAEB8">
            <w:pPr>
              <w:spacing w:line="400" w:lineRule="exact"/>
              <w:ind w:firstLine="560"/>
              <w:rPr>
                <w:rFonts w:hint="eastAsia" w:cs="仿宋"/>
                <w:b w:val="0"/>
                <w:bCs w:val="0"/>
                <w:u w:val="none"/>
                <w:lang w:val="zh-CN"/>
              </w:rPr>
            </w:pPr>
          </w:p>
        </w:tc>
      </w:tr>
      <w:tr w14:paraId="324E2FC6">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FC25F72">
            <w:pPr>
              <w:spacing w:line="400" w:lineRule="exact"/>
              <w:ind w:firstLine="560"/>
              <w:rPr>
                <w:rFonts w:hint="eastAsia" w:cs="仿宋"/>
                <w:b w:val="0"/>
                <w:bCs w:val="0"/>
                <w:u w:val="none"/>
              </w:rPr>
            </w:pPr>
            <w:r>
              <w:rPr>
                <w:rFonts w:hint="eastAsia" w:cs="仿宋"/>
                <w:b w:val="0"/>
                <w:bCs w:val="0"/>
                <w:u w:val="none"/>
              </w:rPr>
              <w:t>2</w:t>
            </w:r>
          </w:p>
        </w:tc>
        <w:tc>
          <w:tcPr>
            <w:tcW w:w="2762" w:type="dxa"/>
            <w:tcBorders>
              <w:top w:val="single" w:color="auto" w:sz="6" w:space="0"/>
              <w:left w:val="single" w:color="auto" w:sz="6" w:space="0"/>
              <w:bottom w:val="single" w:color="auto" w:sz="6" w:space="0"/>
              <w:right w:val="single" w:color="auto" w:sz="6" w:space="0"/>
            </w:tcBorders>
            <w:vAlign w:val="center"/>
          </w:tcPr>
          <w:p w14:paraId="7ED45879">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335325C6">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7DCF4AC">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2A338DD">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AC9299D">
            <w:pPr>
              <w:spacing w:line="400" w:lineRule="exact"/>
              <w:ind w:firstLine="560"/>
              <w:rPr>
                <w:rFonts w:hint="eastAsia" w:cs="仿宋"/>
                <w:b w:val="0"/>
                <w:bCs w:val="0"/>
                <w:u w:val="none"/>
                <w:lang w:val="zh-CN"/>
              </w:rPr>
            </w:pPr>
          </w:p>
        </w:tc>
      </w:tr>
      <w:tr w14:paraId="001D733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C8B7A32">
            <w:pPr>
              <w:spacing w:line="400" w:lineRule="exact"/>
              <w:ind w:firstLine="560"/>
              <w:rPr>
                <w:rFonts w:hint="eastAsia" w:cs="仿宋"/>
                <w:b w:val="0"/>
                <w:bCs w:val="0"/>
                <w:u w:val="none"/>
              </w:rPr>
            </w:pPr>
            <w:r>
              <w:rPr>
                <w:rFonts w:hint="eastAsia" w:cs="仿宋"/>
                <w:b w:val="0"/>
                <w:bCs w:val="0"/>
                <w:u w:val="none"/>
              </w:rPr>
              <w:t>3</w:t>
            </w:r>
          </w:p>
        </w:tc>
        <w:tc>
          <w:tcPr>
            <w:tcW w:w="2762" w:type="dxa"/>
            <w:tcBorders>
              <w:top w:val="single" w:color="auto" w:sz="6" w:space="0"/>
              <w:left w:val="single" w:color="auto" w:sz="6" w:space="0"/>
              <w:bottom w:val="single" w:color="auto" w:sz="6" w:space="0"/>
              <w:right w:val="single" w:color="auto" w:sz="6" w:space="0"/>
            </w:tcBorders>
            <w:vAlign w:val="center"/>
          </w:tcPr>
          <w:p w14:paraId="0DDBC402">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2FB2D4F">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9060C76">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3818DFC3">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D4D0DF6">
            <w:pPr>
              <w:spacing w:line="400" w:lineRule="exact"/>
              <w:ind w:firstLine="560"/>
              <w:rPr>
                <w:rFonts w:hint="eastAsia" w:cs="仿宋"/>
                <w:b w:val="0"/>
                <w:bCs w:val="0"/>
                <w:u w:val="none"/>
                <w:lang w:val="zh-CN"/>
              </w:rPr>
            </w:pPr>
          </w:p>
        </w:tc>
      </w:tr>
      <w:tr w14:paraId="0BF92630">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04D96DC2">
            <w:pPr>
              <w:spacing w:line="400" w:lineRule="exact"/>
              <w:ind w:firstLine="560"/>
              <w:rPr>
                <w:rFonts w:hint="eastAsia" w:cs="仿宋"/>
                <w:b w:val="0"/>
                <w:bCs w:val="0"/>
                <w:u w:val="none"/>
              </w:rPr>
            </w:pPr>
            <w:r>
              <w:rPr>
                <w:rFonts w:hint="eastAsia" w:cs="仿宋"/>
                <w:b w:val="0"/>
                <w:bCs w:val="0"/>
                <w:u w:val="none"/>
              </w:rPr>
              <w:t>4</w:t>
            </w:r>
          </w:p>
        </w:tc>
        <w:tc>
          <w:tcPr>
            <w:tcW w:w="2762" w:type="dxa"/>
            <w:tcBorders>
              <w:top w:val="single" w:color="auto" w:sz="6" w:space="0"/>
              <w:left w:val="single" w:color="auto" w:sz="6" w:space="0"/>
              <w:bottom w:val="single" w:color="auto" w:sz="6" w:space="0"/>
              <w:right w:val="single" w:color="auto" w:sz="6" w:space="0"/>
            </w:tcBorders>
            <w:vAlign w:val="center"/>
          </w:tcPr>
          <w:p w14:paraId="2454531E">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2056B1E">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4EB40EB">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0263F74">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65D14F1">
            <w:pPr>
              <w:spacing w:line="400" w:lineRule="exact"/>
              <w:ind w:firstLine="560"/>
              <w:rPr>
                <w:rFonts w:hint="eastAsia" w:cs="仿宋"/>
                <w:b w:val="0"/>
                <w:bCs w:val="0"/>
                <w:u w:val="none"/>
                <w:lang w:val="zh-CN"/>
              </w:rPr>
            </w:pPr>
          </w:p>
        </w:tc>
      </w:tr>
      <w:tr w14:paraId="07A36E1D">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03AC199">
            <w:pPr>
              <w:spacing w:line="400" w:lineRule="exact"/>
              <w:ind w:firstLine="560"/>
              <w:rPr>
                <w:rFonts w:hint="eastAsia" w:cs="仿宋"/>
                <w:b w:val="0"/>
                <w:bCs w:val="0"/>
                <w:u w:val="none"/>
              </w:rPr>
            </w:pPr>
            <w:r>
              <w:rPr>
                <w:rFonts w:hint="eastAsia" w:cs="仿宋"/>
                <w:b w:val="0"/>
                <w:bCs w:val="0"/>
                <w:u w:val="none"/>
              </w:rPr>
              <w:t>5</w:t>
            </w:r>
          </w:p>
        </w:tc>
        <w:tc>
          <w:tcPr>
            <w:tcW w:w="2762" w:type="dxa"/>
            <w:tcBorders>
              <w:top w:val="single" w:color="auto" w:sz="6" w:space="0"/>
              <w:left w:val="single" w:color="auto" w:sz="6" w:space="0"/>
              <w:bottom w:val="single" w:color="auto" w:sz="6" w:space="0"/>
              <w:right w:val="single" w:color="auto" w:sz="6" w:space="0"/>
            </w:tcBorders>
            <w:vAlign w:val="center"/>
          </w:tcPr>
          <w:p w14:paraId="1921F356">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680DB52">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86AB1A7">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02E3DD8">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590749B4">
            <w:pPr>
              <w:spacing w:line="400" w:lineRule="exact"/>
              <w:ind w:firstLine="560"/>
              <w:rPr>
                <w:rFonts w:hint="eastAsia" w:cs="仿宋"/>
                <w:b w:val="0"/>
                <w:bCs w:val="0"/>
                <w:u w:val="none"/>
                <w:lang w:val="zh-CN"/>
              </w:rPr>
            </w:pPr>
          </w:p>
        </w:tc>
      </w:tr>
      <w:tr w14:paraId="10F1DCD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3C3FB58">
            <w:pPr>
              <w:spacing w:line="400" w:lineRule="exact"/>
              <w:ind w:firstLine="560"/>
              <w:rPr>
                <w:rFonts w:hint="eastAsia" w:cs="仿宋"/>
                <w:b w:val="0"/>
                <w:bCs w:val="0"/>
                <w:u w:val="none"/>
              </w:rPr>
            </w:pPr>
            <w:r>
              <w:rPr>
                <w:rFonts w:hint="eastAsia" w:cs="仿宋"/>
                <w:b w:val="0"/>
                <w:bCs w:val="0"/>
                <w:u w:val="none"/>
              </w:rPr>
              <w:t>6</w:t>
            </w:r>
          </w:p>
        </w:tc>
        <w:tc>
          <w:tcPr>
            <w:tcW w:w="2762" w:type="dxa"/>
            <w:tcBorders>
              <w:top w:val="single" w:color="auto" w:sz="6" w:space="0"/>
              <w:left w:val="single" w:color="auto" w:sz="6" w:space="0"/>
              <w:bottom w:val="single" w:color="auto" w:sz="6" w:space="0"/>
              <w:right w:val="single" w:color="auto" w:sz="6" w:space="0"/>
            </w:tcBorders>
            <w:vAlign w:val="center"/>
          </w:tcPr>
          <w:p w14:paraId="308E2A46">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8F887F6">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184BB9D">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C1E484E">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60C8C31B">
            <w:pPr>
              <w:spacing w:line="400" w:lineRule="exact"/>
              <w:ind w:firstLine="560"/>
              <w:rPr>
                <w:rFonts w:hint="eastAsia" w:cs="仿宋"/>
                <w:b w:val="0"/>
                <w:bCs w:val="0"/>
                <w:u w:val="none"/>
                <w:lang w:val="zh-CN"/>
              </w:rPr>
            </w:pPr>
          </w:p>
        </w:tc>
      </w:tr>
      <w:tr w14:paraId="545055F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9B3065E">
            <w:pPr>
              <w:spacing w:line="400" w:lineRule="exact"/>
              <w:ind w:firstLine="560"/>
              <w:rPr>
                <w:rFonts w:hint="eastAsia" w:cs="仿宋"/>
                <w:b w:val="0"/>
                <w:bCs w:val="0"/>
                <w:u w:val="none"/>
              </w:rPr>
            </w:pPr>
            <w:r>
              <w:rPr>
                <w:rFonts w:hint="eastAsia" w:cs="仿宋"/>
                <w:b w:val="0"/>
                <w:bCs w:val="0"/>
                <w:u w:val="none"/>
              </w:rPr>
              <w:t>7</w:t>
            </w:r>
          </w:p>
        </w:tc>
        <w:tc>
          <w:tcPr>
            <w:tcW w:w="2762" w:type="dxa"/>
            <w:tcBorders>
              <w:top w:val="single" w:color="auto" w:sz="6" w:space="0"/>
              <w:left w:val="single" w:color="auto" w:sz="6" w:space="0"/>
              <w:bottom w:val="single" w:color="auto" w:sz="6" w:space="0"/>
              <w:right w:val="single" w:color="auto" w:sz="6" w:space="0"/>
            </w:tcBorders>
            <w:vAlign w:val="center"/>
          </w:tcPr>
          <w:p w14:paraId="54081632">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5485208">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27FDCE3">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0E49E475">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43CE16E0">
            <w:pPr>
              <w:spacing w:line="400" w:lineRule="exact"/>
              <w:ind w:firstLine="560"/>
              <w:rPr>
                <w:rFonts w:hint="eastAsia" w:cs="仿宋"/>
                <w:b w:val="0"/>
                <w:bCs w:val="0"/>
                <w:u w:val="none"/>
                <w:lang w:val="zh-CN"/>
              </w:rPr>
            </w:pPr>
          </w:p>
        </w:tc>
      </w:tr>
      <w:tr w14:paraId="24C42EA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8FE75E4">
            <w:pPr>
              <w:spacing w:line="400" w:lineRule="exact"/>
              <w:ind w:firstLine="560"/>
              <w:rPr>
                <w:rFonts w:hint="eastAsia" w:cs="仿宋"/>
                <w:b w:val="0"/>
                <w:bCs w:val="0"/>
                <w:u w:val="none"/>
              </w:rPr>
            </w:pPr>
          </w:p>
        </w:tc>
        <w:tc>
          <w:tcPr>
            <w:tcW w:w="2762" w:type="dxa"/>
            <w:tcBorders>
              <w:top w:val="single" w:color="auto" w:sz="6" w:space="0"/>
              <w:left w:val="single" w:color="auto" w:sz="6" w:space="0"/>
              <w:bottom w:val="single" w:color="auto" w:sz="6" w:space="0"/>
              <w:right w:val="single" w:color="auto" w:sz="6" w:space="0"/>
            </w:tcBorders>
            <w:vAlign w:val="center"/>
          </w:tcPr>
          <w:p w14:paraId="44FD7628">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AAABD90">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3371FC5">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4CA95F8">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AE816EC">
            <w:pPr>
              <w:spacing w:line="400" w:lineRule="exact"/>
              <w:ind w:firstLine="560"/>
              <w:rPr>
                <w:rFonts w:hint="eastAsia" w:cs="仿宋"/>
                <w:b w:val="0"/>
                <w:bCs w:val="0"/>
                <w:u w:val="none"/>
                <w:lang w:val="zh-CN"/>
              </w:rPr>
            </w:pPr>
          </w:p>
        </w:tc>
      </w:tr>
    </w:tbl>
    <w:p w14:paraId="153FA5FA">
      <w:pPr>
        <w:spacing w:line="400" w:lineRule="exact"/>
        <w:ind w:firstLine="560"/>
        <w:rPr>
          <w:rFonts w:hint="eastAsia" w:cs="仿宋"/>
          <w:b w:val="0"/>
          <w:bCs w:val="0"/>
          <w:u w:val="none"/>
          <w:lang w:val="zh-CN"/>
        </w:rPr>
      </w:pPr>
      <w:r>
        <w:rPr>
          <w:rFonts w:hint="eastAsia" w:cs="仿宋"/>
          <w:b w:val="0"/>
          <w:bCs w:val="0"/>
          <w:u w:val="none"/>
          <w:lang w:val="zh-CN"/>
        </w:rPr>
        <w:t xml:space="preserve">服务商名称（盖章）： </w:t>
      </w:r>
    </w:p>
    <w:p w14:paraId="45CF165A">
      <w:pPr>
        <w:spacing w:line="400" w:lineRule="exact"/>
        <w:ind w:firstLine="560"/>
        <w:rPr>
          <w:rFonts w:hint="eastAsia" w:cs="仿宋"/>
          <w:b w:val="0"/>
          <w:bCs w:val="0"/>
          <w:color w:val="91ACE0" w:themeColor="accent1" w:themeTint="99"/>
          <w:u w:val="none"/>
          <w:lang w:val="zh-CN"/>
          <w14:textFill>
            <w14:solidFill>
              <w14:schemeClr w14:val="accent1">
                <w14:lumMod w14:val="60000"/>
                <w14:lumOff w14:val="40000"/>
              </w14:schemeClr>
            </w14:solidFill>
          </w14:textFill>
        </w:rPr>
      </w:pPr>
      <w:r>
        <w:rPr>
          <w:rFonts w:hint="eastAsia" w:cs="仿宋"/>
          <w:b w:val="0"/>
          <w:bCs w:val="0"/>
          <w:u w:val="none"/>
          <w:lang w:val="zh-CN"/>
        </w:rPr>
        <w:t>说明：如果行数不够，请自行增加。请服务商对招标文件内的技术条款进行逐条响应</w:t>
      </w:r>
      <w:r>
        <w:rPr>
          <w:rFonts w:hint="eastAsia" w:cs="仿宋"/>
          <w:b w:val="0"/>
          <w:bCs w:val="0"/>
          <w:u w:val="none"/>
        </w:rPr>
        <w:t>/正偏离/负偏离，不得缺页漏项</w:t>
      </w:r>
      <w:r>
        <w:rPr>
          <w:rFonts w:hint="eastAsia" w:cs="仿宋"/>
          <w:b w:val="0"/>
          <w:bCs w:val="0"/>
          <w:u w:val="none"/>
          <w:lang w:val="zh-CN"/>
        </w:rPr>
        <w:t>。</w:t>
      </w:r>
    </w:p>
    <w:p w14:paraId="34994CD1">
      <w:pPr>
        <w:pStyle w:val="20"/>
        <w:spacing w:line="400" w:lineRule="exact"/>
        <w:rPr>
          <w:rFonts w:hint="eastAsia" w:ascii="仿宋" w:hAnsi="仿宋" w:eastAsia="仿宋" w:cs="仿宋"/>
          <w:sz w:val="28"/>
          <w:szCs w:val="28"/>
        </w:rPr>
      </w:pPr>
    </w:p>
    <w:p w14:paraId="068EDCC9">
      <w:pPr>
        <w:pStyle w:val="20"/>
        <w:spacing w:line="400" w:lineRule="exact"/>
        <w:rPr>
          <w:rFonts w:hint="eastAsia" w:ascii="仿宋" w:hAnsi="仿宋" w:eastAsia="仿宋" w:cs="仿宋"/>
          <w:sz w:val="28"/>
          <w:szCs w:val="28"/>
        </w:rPr>
      </w:pPr>
    </w:p>
    <w:p w14:paraId="2921F9FE">
      <w:pPr>
        <w:pStyle w:val="20"/>
        <w:spacing w:line="400" w:lineRule="exact"/>
        <w:rPr>
          <w:rFonts w:hint="eastAsia" w:cs="仿宋"/>
          <w:b w:val="0"/>
          <w:bCs w:val="0"/>
          <w:u w:val="none"/>
          <w:lang w:val="zh-CN"/>
        </w:r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3：</w:t>
      </w:r>
      <w:r>
        <w:rPr>
          <w:rFonts w:hint="eastAsia" w:ascii="仿宋" w:hAnsi="仿宋" w:eastAsia="仿宋" w:cs="仿宋"/>
          <w:b w:val="0"/>
          <w:bCs w:val="0"/>
          <w:kern w:val="2"/>
          <w:sz w:val="28"/>
          <w:szCs w:val="28"/>
          <w:u w:val="none"/>
          <w:lang w:val="zh-CN" w:eastAsia="zh-CN" w:bidi="ar-SA"/>
        </w:rPr>
        <w:t>无重大违法记录声明格式</w:t>
      </w:r>
    </w:p>
    <w:p w14:paraId="40998352">
      <w:pPr>
        <w:spacing w:line="400" w:lineRule="exact"/>
        <w:ind w:firstLine="560"/>
        <w:rPr>
          <w:rFonts w:hint="eastAsia" w:cs="仿宋"/>
          <w:b w:val="0"/>
          <w:bCs w:val="0"/>
          <w:u w:val="none"/>
          <w:lang w:val="zh-CN"/>
        </w:rPr>
      </w:pPr>
    </w:p>
    <w:p w14:paraId="3DD11D7F">
      <w:pPr>
        <w:spacing w:line="400" w:lineRule="exact"/>
        <w:ind w:firstLine="3920" w:firstLineChars="1400"/>
        <w:rPr>
          <w:rFonts w:hint="eastAsia" w:cs="仿宋"/>
          <w:b w:val="0"/>
          <w:bCs w:val="0"/>
          <w:u w:val="none"/>
          <w:lang w:val="zh-CN"/>
        </w:rPr>
      </w:pPr>
      <w:r>
        <w:rPr>
          <w:rFonts w:hint="eastAsia" w:cs="仿宋"/>
          <w:b w:val="0"/>
          <w:bCs w:val="0"/>
          <w:u w:val="none"/>
          <w:lang w:val="zh-CN"/>
        </w:rPr>
        <w:t>无重大违法记录声明</w:t>
      </w:r>
    </w:p>
    <w:p w14:paraId="3483D879">
      <w:pPr>
        <w:spacing w:line="400" w:lineRule="exact"/>
        <w:ind w:firstLine="560"/>
        <w:rPr>
          <w:rFonts w:hint="eastAsia" w:cs="仿宋"/>
          <w:b w:val="0"/>
          <w:bCs w:val="0"/>
          <w:u w:val="none"/>
          <w:lang w:val="zh-CN"/>
        </w:rPr>
      </w:pPr>
    </w:p>
    <w:p w14:paraId="1BA4A9AF">
      <w:pPr>
        <w:spacing w:line="400" w:lineRule="exact"/>
        <w:ind w:firstLine="560"/>
        <w:rPr>
          <w:rFonts w:hint="eastAsia" w:cs="仿宋"/>
          <w:b w:val="0"/>
          <w:bCs w:val="0"/>
          <w:u w:val="none"/>
          <w:lang w:val="zh-CN"/>
        </w:rPr>
      </w:pPr>
      <w:r>
        <w:rPr>
          <w:rFonts w:hint="eastAsia" w:cs="仿宋"/>
          <w:b w:val="0"/>
          <w:bCs w:val="0"/>
          <w:u w:val="none"/>
          <w:lang w:val="zh-CN" w:eastAsia="zh-CN"/>
        </w:rPr>
        <w:t>南京市溧水区人民医院</w:t>
      </w:r>
      <w:r>
        <w:rPr>
          <w:rFonts w:hint="eastAsia" w:cs="仿宋"/>
          <w:b w:val="0"/>
          <w:bCs w:val="0"/>
          <w:u w:val="none"/>
          <w:lang w:val="zh-CN"/>
        </w:rPr>
        <w:t>：</w:t>
      </w:r>
    </w:p>
    <w:p w14:paraId="4CB088F8">
      <w:pPr>
        <w:spacing w:line="400" w:lineRule="exact"/>
        <w:ind w:firstLine="560"/>
        <w:rPr>
          <w:rFonts w:hint="eastAsia" w:cs="仿宋"/>
          <w:b w:val="0"/>
          <w:bCs w:val="0"/>
          <w:u w:val="none"/>
          <w:lang w:val="zh-CN"/>
        </w:rPr>
      </w:pPr>
      <w:r>
        <w:rPr>
          <w:rFonts w:hint="eastAsia" w:cs="仿宋"/>
          <w:b w:val="0"/>
          <w:bCs w:val="0"/>
          <w:u w:val="none"/>
          <w:lang w:val="zh-CN"/>
        </w:rPr>
        <w:t>我单位                                     （服务商名称）郑重声明：</w:t>
      </w:r>
    </w:p>
    <w:p w14:paraId="36ADB6E8">
      <w:pPr>
        <w:spacing w:line="400" w:lineRule="exact"/>
        <w:ind w:firstLine="560"/>
        <w:rPr>
          <w:rFonts w:hint="eastAsia" w:cs="仿宋"/>
          <w:b w:val="0"/>
          <w:bCs w:val="0"/>
          <w:u w:val="none"/>
          <w:lang w:val="zh-CN"/>
        </w:rPr>
      </w:pPr>
      <w:r>
        <w:rPr>
          <w:rFonts w:hint="eastAsia" w:cs="仿宋"/>
          <w:b w:val="0"/>
          <w:bCs w:val="0"/>
          <w:u w:val="none"/>
          <w:lang w:val="zh-CN"/>
        </w:rPr>
        <w:t>参加政府采购活动前3年内在经营活动中        （在下划线上如实填写：有或没有）重大违法记录。</w:t>
      </w:r>
    </w:p>
    <w:p w14:paraId="5149225A">
      <w:pPr>
        <w:spacing w:line="400" w:lineRule="exact"/>
        <w:ind w:firstLine="560"/>
        <w:rPr>
          <w:rFonts w:hint="eastAsia" w:cs="仿宋"/>
          <w:b w:val="0"/>
          <w:bCs w:val="0"/>
          <w:u w:val="none"/>
          <w:lang w:val="zh-CN"/>
        </w:rPr>
      </w:pPr>
      <w:r>
        <w:rPr>
          <w:rFonts w:hint="eastAsia" w:cs="仿宋"/>
          <w:b w:val="0"/>
          <w:bCs w:val="0"/>
          <w:u w:val="none"/>
          <w:lang w:val="zh-CN"/>
        </w:rPr>
        <w:t>（说明：政府采购法第二十二条第一款第五项所称重大违法记录，是指服务商因违法经营受到刑事处罚或者责令停产停业、吊销许可证或者执照、较大数额罚款等行政处罚。）</w:t>
      </w:r>
    </w:p>
    <w:p w14:paraId="5414DFFC">
      <w:pPr>
        <w:spacing w:line="400" w:lineRule="exact"/>
        <w:ind w:left="0" w:leftChars="0" w:firstLine="0" w:firstLineChars="0"/>
        <w:rPr>
          <w:rFonts w:hint="eastAsia" w:cs="仿宋"/>
          <w:b w:val="0"/>
          <w:bCs w:val="0"/>
          <w:u w:val="none"/>
          <w:lang w:val="zh-CN"/>
        </w:rPr>
      </w:pPr>
    </w:p>
    <w:p w14:paraId="247F1FDF">
      <w:pPr>
        <w:spacing w:line="400" w:lineRule="exact"/>
        <w:ind w:firstLine="6720" w:firstLineChars="2400"/>
        <w:rPr>
          <w:rFonts w:hint="eastAsia" w:cs="仿宋"/>
          <w:b w:val="0"/>
          <w:bCs w:val="0"/>
          <w:u w:val="none"/>
          <w:lang w:val="zh-CN"/>
        </w:rPr>
      </w:pPr>
      <w:r>
        <w:rPr>
          <w:rFonts w:hint="eastAsia" w:cs="仿宋"/>
          <w:b w:val="0"/>
          <w:bCs w:val="0"/>
          <w:u w:val="none"/>
          <w:lang w:val="zh-CN"/>
        </w:rPr>
        <w:t>声明人（公章）：</w:t>
      </w:r>
    </w:p>
    <w:p w14:paraId="7D029745">
      <w:pPr>
        <w:spacing w:line="400" w:lineRule="exact"/>
        <w:ind w:firstLine="6720" w:firstLineChars="2400"/>
        <w:rPr>
          <w:rFonts w:hint="eastAsia" w:cs="仿宋"/>
          <w:b w:val="0"/>
          <w:bCs w:val="0"/>
          <w:u w:val="none"/>
          <w:lang w:val="zh-CN"/>
        </w:rPr>
      </w:pPr>
      <w:r>
        <w:rPr>
          <w:rFonts w:hint="eastAsia" w:cs="仿宋"/>
          <w:b w:val="0"/>
          <w:bCs w:val="0"/>
          <w:u w:val="none"/>
          <w:lang w:val="zh-CN"/>
        </w:rPr>
        <w:t>日　　期：    年   月</w:t>
      </w:r>
      <w:r>
        <w:rPr>
          <w:rFonts w:hint="eastAsia" w:cs="仿宋"/>
          <w:b w:val="0"/>
          <w:bCs w:val="0"/>
          <w:u w:val="none"/>
          <w:lang w:val="en-US" w:eastAsia="zh-CN"/>
        </w:rPr>
        <w:t xml:space="preserve"> </w:t>
      </w:r>
      <w:r>
        <w:rPr>
          <w:rFonts w:hint="eastAsia" w:cs="仿宋"/>
          <w:b w:val="0"/>
          <w:bCs w:val="0"/>
          <w:u w:val="none"/>
          <w:lang w:val="zh-CN"/>
        </w:rPr>
        <w:t xml:space="preserve"> 日</w:t>
      </w:r>
    </w:p>
    <w:p w14:paraId="3C31121A">
      <w:pPr>
        <w:spacing w:line="400" w:lineRule="exact"/>
        <w:ind w:firstLine="560"/>
        <w:rPr>
          <w:rFonts w:hint="eastAsia" w:cs="仿宋"/>
          <w:b w:val="0"/>
          <w:bCs w:val="0"/>
          <w:u w:val="none"/>
          <w:lang w:val="zh-CN"/>
        </w:rPr>
      </w:pPr>
    </w:p>
    <w:p w14:paraId="3AAFE0C4">
      <w:pPr>
        <w:spacing w:line="400" w:lineRule="exact"/>
        <w:ind w:left="0" w:leftChars="0" w:firstLine="0" w:firstLineChars="0"/>
        <w:rPr>
          <w:rFonts w:hint="eastAsia" w:cs="仿宋"/>
          <w:b w:val="0"/>
          <w:bCs w:val="0"/>
          <w:u w:val="none"/>
          <w:lang w:val="zh-CN"/>
        </w:rPr>
      </w:pPr>
      <w:r>
        <w:rPr>
          <w:rFonts w:hint="eastAsia" w:cs="仿宋"/>
          <w:b/>
          <w:bCs/>
          <w:u w:val="none"/>
          <w:lang w:val="zh-CN"/>
        </w:rPr>
        <w:t>附件</w:t>
      </w:r>
      <w:r>
        <w:rPr>
          <w:rFonts w:hint="eastAsia" w:cs="仿宋"/>
          <w:b/>
          <w:bCs/>
          <w:u w:val="none"/>
          <w:lang w:val="en-US" w:eastAsia="zh-CN"/>
        </w:rPr>
        <w:t>4</w:t>
      </w:r>
      <w:r>
        <w:rPr>
          <w:rFonts w:hint="eastAsia" w:cs="仿宋"/>
          <w:b/>
          <w:bCs/>
          <w:u w:val="none"/>
          <w:lang w:val="zh-CN"/>
        </w:rPr>
        <w:t>：</w:t>
      </w:r>
      <w:r>
        <w:rPr>
          <w:rFonts w:hint="eastAsia" w:cs="仿宋"/>
          <w:b w:val="0"/>
          <w:bCs w:val="0"/>
          <w:u w:val="none"/>
          <w:lang w:val="zh-CN"/>
        </w:rPr>
        <w:t>具备履行合同所必需的设备和专业技术能力的声明格式及证明材料</w:t>
      </w:r>
    </w:p>
    <w:p w14:paraId="53F5350A">
      <w:pPr>
        <w:spacing w:line="400" w:lineRule="exact"/>
        <w:ind w:left="0" w:leftChars="0" w:firstLine="560" w:firstLineChars="200"/>
        <w:rPr>
          <w:rFonts w:hint="eastAsia" w:cs="仿宋"/>
          <w:b w:val="0"/>
          <w:bCs w:val="0"/>
          <w:u w:val="none"/>
          <w:lang w:val="zh-CN"/>
        </w:rPr>
      </w:pPr>
      <w:r>
        <w:rPr>
          <w:rFonts w:hint="eastAsia" w:cs="仿宋"/>
          <w:b w:val="0"/>
          <w:bCs w:val="0"/>
          <w:u w:val="none"/>
          <w:lang w:val="zh-CN"/>
        </w:rPr>
        <w:t>具备履行合同所必需的设备和专业技术能力的声明格式</w:t>
      </w:r>
    </w:p>
    <w:p w14:paraId="088A2A6C">
      <w:pPr>
        <w:spacing w:line="400" w:lineRule="exact"/>
        <w:ind w:firstLine="560"/>
        <w:rPr>
          <w:rFonts w:hint="eastAsia" w:cs="仿宋"/>
          <w:b w:val="0"/>
          <w:bCs w:val="0"/>
          <w:u w:val="none"/>
          <w:lang w:val="zh-CN"/>
        </w:rPr>
      </w:pPr>
      <w:r>
        <w:rPr>
          <w:rFonts w:hint="eastAsia" w:cs="仿宋"/>
          <w:b w:val="0"/>
          <w:bCs w:val="0"/>
          <w:u w:val="none"/>
          <w:lang w:val="zh-CN"/>
        </w:rPr>
        <w:t>南京</w:t>
      </w:r>
      <w:r>
        <w:rPr>
          <w:rFonts w:hint="eastAsia" w:cs="仿宋"/>
          <w:b w:val="0"/>
          <w:bCs w:val="0"/>
          <w:u w:val="none"/>
          <w:lang w:val="zh-CN" w:eastAsia="zh-CN"/>
        </w:rPr>
        <w:t>市溧水区人民医院</w:t>
      </w:r>
      <w:r>
        <w:rPr>
          <w:rFonts w:hint="eastAsia" w:cs="仿宋"/>
          <w:b w:val="0"/>
          <w:bCs w:val="0"/>
          <w:u w:val="none"/>
          <w:lang w:val="zh-CN"/>
        </w:rPr>
        <w:t>：</w:t>
      </w:r>
    </w:p>
    <w:p w14:paraId="622A291B">
      <w:pPr>
        <w:spacing w:line="400" w:lineRule="exact"/>
        <w:ind w:firstLine="560"/>
        <w:rPr>
          <w:rFonts w:hint="eastAsia" w:cs="仿宋"/>
          <w:b w:val="0"/>
          <w:bCs w:val="0"/>
          <w:u w:val="none"/>
          <w:lang w:val="zh-CN"/>
        </w:rPr>
      </w:pPr>
      <w:r>
        <w:rPr>
          <w:rFonts w:hint="eastAsia" w:cs="仿宋"/>
          <w:b w:val="0"/>
          <w:bCs w:val="0"/>
          <w:u w:val="none"/>
          <w:lang w:val="zh-CN"/>
        </w:rPr>
        <w:t>我单位                             （服务商名称）郑重声明：我公司具备履行本项采购合同所必需的设备和专业技术能力，为履行本项采购合同我单位具备如下主要设备和主要专业技术能力：</w:t>
      </w:r>
    </w:p>
    <w:p w14:paraId="637351A1">
      <w:pPr>
        <w:spacing w:line="400" w:lineRule="exact"/>
        <w:ind w:firstLine="560"/>
        <w:rPr>
          <w:rFonts w:hint="eastAsia" w:cs="仿宋"/>
          <w:b w:val="0"/>
          <w:bCs w:val="0"/>
          <w:u w:val="none"/>
          <w:lang w:val="zh-CN"/>
        </w:rPr>
      </w:pPr>
      <w:r>
        <w:rPr>
          <w:rFonts w:hint="eastAsia" w:cs="仿宋"/>
          <w:b w:val="0"/>
          <w:bCs w:val="0"/>
          <w:u w:val="none"/>
          <w:lang w:val="zh-CN"/>
        </w:rPr>
        <w:t>主要设备有：                          。(提供照片)</w:t>
      </w:r>
    </w:p>
    <w:p w14:paraId="19E221F1">
      <w:pPr>
        <w:spacing w:line="400" w:lineRule="exact"/>
        <w:ind w:firstLine="560"/>
        <w:rPr>
          <w:rFonts w:hint="eastAsia" w:cs="仿宋"/>
          <w:b w:val="0"/>
          <w:bCs w:val="0"/>
          <w:u w:val="none"/>
          <w:lang w:val="zh-CN"/>
        </w:rPr>
      </w:pPr>
      <w:r>
        <w:rPr>
          <w:rFonts w:hint="eastAsia" w:cs="仿宋"/>
          <w:b w:val="0"/>
          <w:bCs w:val="0"/>
          <w:u w:val="none"/>
          <w:lang w:val="zh-CN"/>
        </w:rPr>
        <w:t>主要专业技术能力有：                  。(若有)</w:t>
      </w:r>
    </w:p>
    <w:p w14:paraId="5E6F66E6">
      <w:pPr>
        <w:spacing w:line="400" w:lineRule="exact"/>
        <w:ind w:firstLine="560"/>
        <w:rPr>
          <w:rFonts w:hint="eastAsia" w:cs="仿宋"/>
          <w:b w:val="0"/>
          <w:bCs w:val="0"/>
          <w:u w:val="none"/>
          <w:lang w:val="zh-CN"/>
        </w:rPr>
      </w:pPr>
    </w:p>
    <w:p w14:paraId="28E380B4">
      <w:pPr>
        <w:spacing w:line="400" w:lineRule="exact"/>
        <w:ind w:firstLine="560"/>
        <w:rPr>
          <w:rFonts w:hint="eastAsia" w:cs="仿宋"/>
          <w:b w:val="0"/>
          <w:bCs w:val="0"/>
          <w:u w:val="none"/>
          <w:lang w:val="zh-CN"/>
        </w:rPr>
      </w:pPr>
      <w:r>
        <w:rPr>
          <w:rFonts w:hint="eastAsia" w:cs="仿宋"/>
          <w:b w:val="0"/>
          <w:bCs w:val="0"/>
          <w:u w:val="none"/>
          <w:lang w:val="zh-CN"/>
        </w:rPr>
        <w:t xml:space="preserve">                                           声明人：（公章）</w:t>
      </w:r>
    </w:p>
    <w:p w14:paraId="291503BB">
      <w:pPr>
        <w:spacing w:line="400" w:lineRule="exact"/>
        <w:ind w:firstLine="560"/>
        <w:rPr>
          <w:rFonts w:hint="eastAsia" w:cs="仿宋"/>
          <w:b w:val="0"/>
          <w:bCs w:val="0"/>
          <w:u w:val="none"/>
          <w:lang w:val="zh-CN"/>
        </w:rPr>
      </w:pPr>
      <w:r>
        <w:rPr>
          <w:rFonts w:hint="eastAsia" w:cs="仿宋"/>
          <w:b w:val="0"/>
          <w:bCs w:val="0"/>
          <w:u w:val="none"/>
          <w:lang w:val="zh-CN"/>
        </w:rPr>
        <w:t xml:space="preserve">                                      日  期：       年    月    日</w:t>
      </w:r>
    </w:p>
    <w:p w14:paraId="5D2D1935">
      <w:pPr>
        <w:pStyle w:val="20"/>
        <w:spacing w:line="400" w:lineRule="exact"/>
        <w:rPr>
          <w:rFonts w:hint="eastAsia" w:ascii="仿宋" w:hAnsi="仿宋" w:eastAsia="仿宋" w:cs="仿宋"/>
          <w:sz w:val="28"/>
          <w:szCs w:val="28"/>
        </w:rPr>
      </w:pPr>
    </w:p>
    <w:p w14:paraId="6ADD7C6F">
      <w:pPr>
        <w:pStyle w:val="20"/>
        <w:spacing w:line="400" w:lineRule="exact"/>
        <w:rPr>
          <w:rFonts w:hint="default" w:ascii="仿宋" w:hAnsi="仿宋" w:eastAsia="仿宋" w:cs="仿宋"/>
          <w:b/>
          <w:bCs/>
          <w:sz w:val="28"/>
          <w:szCs w:val="28"/>
          <w:lang w:val="en-US" w:eastAsia="zh-CN"/>
        </w:rPr>
      </w:pPr>
      <w:r>
        <w:rPr>
          <w:rFonts w:hint="eastAsia" w:ascii="仿宋" w:hAnsi="仿宋" w:eastAsia="仿宋" w:cs="仿宋"/>
          <w:b/>
          <w:bCs/>
          <w:sz w:val="28"/>
          <w:szCs w:val="28"/>
          <w:lang w:eastAsia="zh-CN"/>
        </w:rPr>
        <w:br w:type="textWrapping"/>
      </w: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5：业绩材料</w:t>
      </w:r>
    </w:p>
    <w:p w14:paraId="608D318B">
      <w:pPr>
        <w:pStyle w:val="20"/>
        <w:spacing w:line="400" w:lineRule="exact"/>
        <w:rPr>
          <w:rFonts w:hint="eastAsia" w:ascii="仿宋" w:hAnsi="仿宋" w:eastAsia="仿宋" w:cs="仿宋"/>
          <w:b/>
          <w:bCs/>
          <w:sz w:val="28"/>
          <w:szCs w:val="28"/>
        </w:rPr>
      </w:pPr>
    </w:p>
    <w:p w14:paraId="7824CAC2">
      <w:pPr>
        <w:pStyle w:val="20"/>
        <w:spacing w:line="400" w:lineRule="exact"/>
        <w:rPr>
          <w:rFonts w:hint="eastAsia" w:ascii="仿宋" w:hAnsi="仿宋" w:eastAsia="仿宋" w:cs="仿宋"/>
          <w:b/>
          <w:bCs/>
        </w:r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拟签订合同文本（供参考）</w:t>
      </w:r>
    </w:p>
    <w:p w14:paraId="2748DC9F">
      <w:pPr>
        <w:autoSpaceDE w:val="0"/>
        <w:autoSpaceDN w:val="0"/>
        <w:adjustRightInd w:val="0"/>
        <w:spacing w:line="280" w:lineRule="exact"/>
        <w:ind w:firstLine="360" w:firstLineChars="200"/>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本合同甲方委托乙方就南京市溧水区人民医院环保自行监测方案进行环保</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服务，按环保部门要求的时间将</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数据在相关环保管理平台上进行登记上报。甲方就本次监测服务支付乙方报酬，根据院内谈判编号为</w:t>
      </w:r>
      <w:r>
        <w:rPr>
          <w:rFonts w:hint="eastAsia" w:ascii="宋体" w:hAnsi="宋体"/>
          <w:b w:val="0"/>
          <w:bCs w:val="0"/>
          <w:color w:val="000000"/>
          <w:sz w:val="18"/>
          <w:szCs w:val="18"/>
          <w:u w:val="none"/>
          <w:lang w:val="en-US" w:eastAsia="zh-CN"/>
        </w:rPr>
        <w:t xml:space="preserve">        </w:t>
      </w:r>
      <w:r>
        <w:rPr>
          <w:rFonts w:hint="eastAsia" w:ascii="宋体" w:hAnsi="宋体"/>
          <w:b w:val="0"/>
          <w:bCs w:val="0"/>
          <w:color w:val="000000"/>
          <w:sz w:val="18"/>
          <w:szCs w:val="18"/>
          <w:u w:val="none"/>
        </w:rPr>
        <w:t>的谈判结果，且双方经过平等协商，在真实、充分地表达各自意愿的基础上，根据《民法典》的规定，达成如下协议，并由双方共同恪守。</w:t>
      </w:r>
    </w:p>
    <w:p w14:paraId="1022961C">
      <w:pPr>
        <w:autoSpaceDE w:val="0"/>
        <w:autoSpaceDN w:val="0"/>
        <w:adjustRightInd w:val="0"/>
        <w:spacing w:line="280" w:lineRule="exact"/>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第一条    服务范围及内容</w:t>
      </w:r>
    </w:p>
    <w:p w14:paraId="40BEB0EB">
      <w:pPr>
        <w:autoSpaceDE w:val="0"/>
        <w:autoSpaceDN w:val="0"/>
        <w:adjustRightInd w:val="0"/>
        <w:spacing w:line="280" w:lineRule="exact"/>
        <w:ind w:firstLine="180" w:firstLineChars="100"/>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1、环保自行监测服务内容：按照各级政府环保部门提出的计划进度和要求，开展环保自行监测和数据网上填报等相关的工作。</w:t>
      </w:r>
    </w:p>
    <w:p w14:paraId="1AABF294">
      <w:pPr>
        <w:autoSpaceDE w:val="0"/>
        <w:autoSpaceDN w:val="0"/>
        <w:adjustRightInd w:val="0"/>
        <w:spacing w:line="280" w:lineRule="exact"/>
        <w:ind w:firstLine="180" w:firstLineChars="100"/>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2、技术服务要求：</w:t>
      </w:r>
    </w:p>
    <w:p w14:paraId="7BD23EE1">
      <w:pPr>
        <w:autoSpaceDE w:val="0"/>
        <w:autoSpaceDN w:val="0"/>
        <w:adjustRightInd w:val="0"/>
        <w:spacing w:line="280" w:lineRule="exact"/>
        <w:ind w:firstLine="180" w:firstLineChars="100"/>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（1）乙方具有国家规定的相关</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资质，根据甲方需求和国家有关环境保护法律、法规、政策等，为甲方在自行监测方案范围内进行环保监测及数据登记上报。</w:t>
      </w:r>
    </w:p>
    <w:p w14:paraId="161DB3C8">
      <w:pPr>
        <w:autoSpaceDE w:val="0"/>
        <w:autoSpaceDN w:val="0"/>
        <w:adjustRightInd w:val="0"/>
        <w:spacing w:line="280" w:lineRule="exact"/>
        <w:ind w:firstLine="180" w:firstLineChars="100"/>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（2）如有偶发数据异常，不能直接发布，应及时通知甲方，查清原因，待问题解决并复查正常后方能发布，如因乙方处理不当对甲方造成负面影响或经济损失，乙方承担全部责任。</w:t>
      </w:r>
    </w:p>
    <w:p w14:paraId="0B4353E6">
      <w:pPr>
        <w:autoSpaceDE w:val="0"/>
        <w:autoSpaceDN w:val="0"/>
        <w:adjustRightInd w:val="0"/>
        <w:spacing w:line="280" w:lineRule="exact"/>
        <w:ind w:firstLine="180" w:firstLineChars="100"/>
        <w:jc w:val="left"/>
        <w:rPr>
          <w:rFonts w:hint="eastAsia" w:ascii="宋体" w:hAnsi="宋体" w:eastAsia="仿宋"/>
          <w:b w:val="0"/>
          <w:bCs w:val="0"/>
          <w:color w:val="000000"/>
          <w:sz w:val="18"/>
          <w:szCs w:val="18"/>
          <w:u w:val="none"/>
          <w:lang w:eastAsia="zh-CN"/>
        </w:rPr>
      </w:pPr>
      <w:r>
        <w:rPr>
          <w:rFonts w:hint="eastAsia" w:ascii="宋体" w:hAnsi="宋体"/>
          <w:b w:val="0"/>
          <w:bCs w:val="0"/>
          <w:color w:val="000000"/>
          <w:sz w:val="18"/>
          <w:szCs w:val="18"/>
          <w:u w:val="none"/>
        </w:rPr>
        <w:t>（3）服务期限：</w:t>
      </w:r>
      <w:r>
        <w:rPr>
          <w:rFonts w:hint="eastAsia" w:ascii="宋体" w:hAnsi="宋体"/>
          <w:b w:val="0"/>
          <w:bCs w:val="0"/>
          <w:color w:val="000000"/>
          <w:sz w:val="18"/>
          <w:szCs w:val="18"/>
          <w:u w:val="none"/>
          <w:lang w:eastAsia="zh-CN"/>
        </w:rPr>
        <w:t>叁年，自</w:t>
      </w:r>
      <w:r>
        <w:rPr>
          <w:rFonts w:hint="eastAsia" w:ascii="宋体" w:hAnsi="宋体"/>
          <w:b w:val="0"/>
          <w:bCs w:val="0"/>
          <w:color w:val="000000"/>
          <w:sz w:val="18"/>
          <w:szCs w:val="18"/>
          <w:u w:val="none"/>
          <w:lang w:val="en-US" w:eastAsia="zh-CN"/>
        </w:rPr>
        <w:t xml:space="preserve">    年   月  日至   年   月  日</w:t>
      </w:r>
      <w:r>
        <w:rPr>
          <w:rFonts w:hint="eastAsia" w:ascii="宋体" w:hAnsi="宋体"/>
          <w:b w:val="0"/>
          <w:bCs w:val="0"/>
          <w:color w:val="000000"/>
          <w:sz w:val="18"/>
          <w:szCs w:val="18"/>
          <w:u w:val="none"/>
        </w:rPr>
        <w:t>。</w:t>
      </w:r>
      <w:r>
        <w:rPr>
          <w:rFonts w:hint="eastAsia" w:ascii="宋体" w:hAnsi="宋体"/>
          <w:b w:val="0"/>
          <w:bCs w:val="0"/>
          <w:color w:val="000000"/>
          <w:sz w:val="18"/>
          <w:szCs w:val="18"/>
          <w:u w:val="none"/>
          <w:lang w:eastAsia="zh-CN"/>
        </w:rPr>
        <w:t>合同一年一签。</w:t>
      </w:r>
      <w:r>
        <w:rPr>
          <w:rFonts w:hint="eastAsia" w:ascii="宋体" w:hAnsi="宋体"/>
          <w:b w:val="0"/>
          <w:bCs w:val="0"/>
          <w:color w:val="000000"/>
          <w:sz w:val="18"/>
          <w:szCs w:val="18"/>
          <w:u w:val="none"/>
        </w:rPr>
        <w:t>甲方对乙方的服务质量进行年度评价，由总务科（56232027）负责监督考核乙方的服务，如在合同期内甲方对乙方服务不满意，甲方有权更换掉乙方，并终止与乙方的合作关系。</w:t>
      </w:r>
    </w:p>
    <w:p w14:paraId="2441D0EC">
      <w:pPr>
        <w:autoSpaceDE w:val="0"/>
        <w:autoSpaceDN w:val="0"/>
        <w:adjustRightInd w:val="0"/>
        <w:spacing w:line="280" w:lineRule="exact"/>
        <w:ind w:firstLine="540" w:firstLineChars="300"/>
        <w:jc w:val="left"/>
        <w:rPr>
          <w:rFonts w:hint="default" w:ascii="宋体" w:hAnsi="宋体"/>
          <w:b w:val="0"/>
          <w:bCs w:val="0"/>
          <w:color w:val="000000"/>
          <w:sz w:val="18"/>
          <w:szCs w:val="18"/>
          <w:u w:val="none"/>
          <w:lang w:val="en-US" w:eastAsia="zh-CN"/>
        </w:rPr>
      </w:pPr>
      <w:r>
        <w:rPr>
          <w:rFonts w:hint="eastAsia" w:ascii="宋体" w:hAnsi="宋体"/>
          <w:b w:val="0"/>
          <w:bCs w:val="0"/>
          <w:color w:val="000000"/>
          <w:sz w:val="18"/>
          <w:szCs w:val="18"/>
          <w:u w:val="none"/>
          <w:lang w:val="en-US" w:eastAsia="zh-CN"/>
        </w:rPr>
        <w:t>合同期限：壹年，自  年   月   日至   年  月   日。</w:t>
      </w:r>
    </w:p>
    <w:p w14:paraId="574B7FDC">
      <w:pPr>
        <w:autoSpaceDE w:val="0"/>
        <w:autoSpaceDN w:val="0"/>
        <w:adjustRightInd w:val="0"/>
        <w:spacing w:line="280" w:lineRule="exact"/>
        <w:ind w:firstLine="180" w:firstLineChars="100"/>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3、服务方式： 数据监测、网上填报、技术咨询、现场指导。</w:t>
      </w:r>
    </w:p>
    <w:p w14:paraId="4D8D48F9">
      <w:pPr>
        <w:autoSpaceDE w:val="0"/>
        <w:autoSpaceDN w:val="0"/>
        <w:adjustRightInd w:val="0"/>
        <w:spacing w:line="280" w:lineRule="exact"/>
        <w:ind w:firstLine="180" w:firstLineChars="100"/>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4、乙方每次进场采样、</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等必须提前通知甲方，并在甲方监管下有序进行。每次采样、</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等不得影响甲方的正常经营秩序。</w:t>
      </w:r>
    </w:p>
    <w:p w14:paraId="44559C89">
      <w:pPr>
        <w:autoSpaceDE w:val="0"/>
        <w:autoSpaceDN w:val="0"/>
        <w:adjustRightInd w:val="0"/>
        <w:spacing w:line="280" w:lineRule="exact"/>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第二条    合同价款及支付</w:t>
      </w:r>
    </w:p>
    <w:p w14:paraId="134507A1">
      <w:pPr>
        <w:autoSpaceDE w:val="0"/>
        <w:autoSpaceDN w:val="0"/>
        <w:adjustRightInd w:val="0"/>
        <w:spacing w:line="280" w:lineRule="exact"/>
        <w:jc w:val="left"/>
        <w:rPr>
          <w:rFonts w:ascii="宋体" w:hAnsi="宋体"/>
          <w:b w:val="0"/>
          <w:bCs w:val="0"/>
          <w:color w:val="000000"/>
          <w:sz w:val="18"/>
          <w:szCs w:val="18"/>
          <w:u w:val="none"/>
        </w:rPr>
      </w:pPr>
      <w:r>
        <w:rPr>
          <w:rFonts w:hint="eastAsia" w:ascii="宋体" w:hAnsi="宋体"/>
          <w:b w:val="0"/>
          <w:bCs w:val="0"/>
          <w:color w:val="000000"/>
          <w:sz w:val="18"/>
          <w:szCs w:val="18"/>
          <w:u w:val="none"/>
        </w:rPr>
        <w:t>1.环保自行</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项目技术服务：年服务费用为人民币</w:t>
      </w:r>
      <w:r>
        <w:rPr>
          <w:rFonts w:hint="eastAsia" w:ascii="宋体" w:hAnsi="宋体"/>
          <w:b w:val="0"/>
          <w:bCs w:val="0"/>
          <w:color w:val="000000"/>
          <w:sz w:val="18"/>
          <w:szCs w:val="18"/>
          <w:u w:val="none"/>
          <w:lang w:val="en-US" w:eastAsia="zh-CN"/>
        </w:rPr>
        <w:t xml:space="preserve">     </w:t>
      </w:r>
      <w:r>
        <w:rPr>
          <w:rFonts w:hint="eastAsia" w:ascii="宋体" w:hAnsi="宋体"/>
          <w:b w:val="0"/>
          <w:bCs w:val="0"/>
          <w:color w:val="000000"/>
          <w:sz w:val="18"/>
          <w:szCs w:val="18"/>
          <w:u w:val="none"/>
        </w:rPr>
        <w:t>元整/年 (¥:</w:t>
      </w:r>
      <w:r>
        <w:rPr>
          <w:rFonts w:hint="eastAsia" w:ascii="宋体" w:hAnsi="宋体"/>
          <w:b w:val="0"/>
          <w:bCs w:val="0"/>
          <w:color w:val="000000"/>
          <w:sz w:val="18"/>
          <w:szCs w:val="18"/>
          <w:u w:val="none"/>
          <w:lang w:val="en-US" w:eastAsia="zh-CN"/>
        </w:rPr>
        <w:t xml:space="preserve">    </w:t>
      </w:r>
      <w:r>
        <w:rPr>
          <w:rFonts w:hint="eastAsia" w:ascii="宋体" w:hAnsi="宋体"/>
          <w:b w:val="0"/>
          <w:bCs w:val="0"/>
          <w:color w:val="000000"/>
          <w:sz w:val="18"/>
          <w:szCs w:val="18"/>
          <w:u w:val="none"/>
        </w:rPr>
        <w:t>元/年 )。</w:t>
      </w:r>
      <w:r>
        <w:rPr>
          <w:rFonts w:hint="eastAsia" w:ascii="宋体" w:hAnsi="宋体"/>
          <w:b w:val="0"/>
          <w:bCs w:val="0"/>
          <w:color w:val="000000"/>
          <w:sz w:val="18"/>
          <w:szCs w:val="18"/>
          <w:u w:val="none"/>
          <w:lang w:eastAsia="zh-CN"/>
        </w:rPr>
        <w:t>三</w:t>
      </w:r>
      <w:r>
        <w:rPr>
          <w:rFonts w:hint="eastAsia" w:ascii="宋体" w:hAnsi="宋体"/>
          <w:b w:val="0"/>
          <w:bCs w:val="0"/>
          <w:color w:val="000000"/>
          <w:sz w:val="18"/>
          <w:szCs w:val="18"/>
          <w:u w:val="none"/>
        </w:rPr>
        <w:t>年期共</w:t>
      </w:r>
      <w:r>
        <w:rPr>
          <w:rFonts w:hint="eastAsia" w:ascii="宋体" w:hAnsi="宋体"/>
          <w:b w:val="0"/>
          <w:bCs w:val="0"/>
          <w:color w:val="000000"/>
          <w:sz w:val="18"/>
          <w:szCs w:val="18"/>
          <w:u w:val="none"/>
          <w:lang w:val="en-US" w:eastAsia="zh-CN"/>
        </w:rPr>
        <w:t xml:space="preserve">    </w:t>
      </w:r>
      <w:r>
        <w:rPr>
          <w:rFonts w:hint="eastAsia" w:ascii="宋体" w:hAnsi="宋体"/>
          <w:b w:val="0"/>
          <w:bCs w:val="0"/>
          <w:color w:val="000000"/>
          <w:sz w:val="18"/>
          <w:szCs w:val="18"/>
          <w:u w:val="none"/>
        </w:rPr>
        <w:t>元（¥:</w:t>
      </w:r>
      <w:r>
        <w:rPr>
          <w:rFonts w:hint="eastAsia" w:ascii="宋体" w:hAnsi="宋体"/>
          <w:b w:val="0"/>
          <w:bCs w:val="0"/>
          <w:color w:val="000000"/>
          <w:sz w:val="18"/>
          <w:szCs w:val="18"/>
          <w:u w:val="none"/>
          <w:lang w:val="en-US" w:eastAsia="zh-CN"/>
        </w:rPr>
        <w:t xml:space="preserve">     </w:t>
      </w:r>
      <w:r>
        <w:rPr>
          <w:rFonts w:hint="eastAsia" w:ascii="宋体" w:hAnsi="宋体"/>
          <w:b w:val="0"/>
          <w:bCs w:val="0"/>
          <w:color w:val="000000"/>
          <w:sz w:val="18"/>
          <w:szCs w:val="18"/>
          <w:u w:val="none"/>
        </w:rPr>
        <w:t>元）。</w:t>
      </w:r>
    </w:p>
    <w:p w14:paraId="39C637C2">
      <w:pPr>
        <w:autoSpaceDE w:val="0"/>
        <w:autoSpaceDN w:val="0"/>
        <w:adjustRightInd w:val="0"/>
        <w:spacing w:line="280" w:lineRule="exact"/>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2.上述合同总价包括：环保自行</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技术服务项目的采样费、分析费、劳务费、交通费、报告编辑费和税金等一切所需费用。</w:t>
      </w:r>
    </w:p>
    <w:p w14:paraId="2FDDF391">
      <w:pPr>
        <w:snapToGrid w:val="0"/>
        <w:spacing w:line="280" w:lineRule="exact"/>
        <w:rPr>
          <w:rFonts w:hint="eastAsia" w:ascii="宋体" w:hAnsi="宋体"/>
          <w:b w:val="0"/>
          <w:bCs w:val="0"/>
          <w:color w:val="000000"/>
          <w:sz w:val="18"/>
          <w:szCs w:val="18"/>
          <w:u w:val="none"/>
          <w:lang w:eastAsia="zh-CN"/>
        </w:rPr>
      </w:pPr>
      <w:r>
        <w:rPr>
          <w:rFonts w:hint="eastAsia" w:ascii="宋体" w:hAnsi="宋体"/>
          <w:b w:val="0"/>
          <w:bCs w:val="0"/>
          <w:color w:val="000000"/>
          <w:sz w:val="18"/>
          <w:szCs w:val="18"/>
          <w:u w:val="none"/>
        </w:rPr>
        <w:t>3.付款方式：</w:t>
      </w:r>
      <w:r>
        <w:rPr>
          <w:rFonts w:hint="eastAsia" w:ascii="宋体" w:hAnsi="宋体"/>
          <w:b w:val="0"/>
          <w:bCs w:val="0"/>
          <w:color w:val="000000"/>
          <w:sz w:val="18"/>
          <w:szCs w:val="18"/>
          <w:u w:val="none"/>
          <w:lang w:eastAsia="zh-CN"/>
        </w:rPr>
        <w:t>按询价文件</w:t>
      </w:r>
    </w:p>
    <w:p w14:paraId="685AF9C1">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eastAsia="楷体_GB2312"/>
          <w:lang w:val="en-US" w:eastAsia="zh-CN"/>
        </w:rPr>
      </w:pPr>
      <w:r>
        <w:rPr>
          <w:rFonts w:hint="eastAsia" w:ascii="宋体" w:hAnsi="宋体"/>
          <w:b w:val="0"/>
          <w:bCs w:val="0"/>
          <w:color w:val="000000"/>
          <w:sz w:val="18"/>
          <w:szCs w:val="18"/>
          <w:u w:val="none"/>
          <w:lang w:val="en-US" w:eastAsia="zh-CN"/>
        </w:rPr>
        <w:t>4、</w:t>
      </w:r>
      <w:r>
        <w:rPr>
          <w:rFonts w:hint="eastAsia" w:ascii="宋体" w:hAnsi="宋体"/>
          <w:b w:val="0"/>
          <w:bCs w:val="0"/>
          <w:color w:val="000000"/>
          <w:sz w:val="18"/>
          <w:szCs w:val="18"/>
          <w:u w:val="none"/>
          <w:lang w:eastAsia="zh-CN"/>
        </w:rPr>
        <w:t>履约保证金：按询价文件要求</w:t>
      </w:r>
    </w:p>
    <w:p w14:paraId="01E7D618">
      <w:pPr>
        <w:autoSpaceDE w:val="0"/>
        <w:autoSpaceDN w:val="0"/>
        <w:adjustRightInd w:val="0"/>
        <w:spacing w:line="280" w:lineRule="exact"/>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第三条   双方权利与义务</w:t>
      </w:r>
    </w:p>
    <w:p w14:paraId="75532C8D">
      <w:pPr>
        <w:autoSpaceDE w:val="0"/>
        <w:autoSpaceDN w:val="0"/>
        <w:adjustRightInd w:val="0"/>
        <w:spacing w:line="280" w:lineRule="exact"/>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甲方的权利与义务：</w:t>
      </w:r>
    </w:p>
    <w:p w14:paraId="53A4F527">
      <w:pPr>
        <w:numPr>
          <w:ilvl w:val="0"/>
          <w:numId w:val="5"/>
        </w:numPr>
        <w:autoSpaceDE w:val="0"/>
        <w:autoSpaceDN w:val="0"/>
        <w:adjustRightInd w:val="0"/>
        <w:spacing w:line="280" w:lineRule="exact"/>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提供相关服务项目的技术资料：自行监测方案、以及和自行监测相关的其他资料，并保证其真实性。</w:t>
      </w:r>
    </w:p>
    <w:p w14:paraId="1C96D646">
      <w:pPr>
        <w:autoSpaceDE w:val="0"/>
        <w:autoSpaceDN w:val="0"/>
        <w:adjustRightInd w:val="0"/>
        <w:spacing w:line="280" w:lineRule="exact"/>
        <w:jc w:val="left"/>
        <w:rPr>
          <w:rFonts w:hint="eastAsia" w:ascii="宋体" w:hAnsi="宋体" w:cs="宋体"/>
          <w:b w:val="0"/>
          <w:bCs w:val="0"/>
          <w:color w:val="000000"/>
          <w:sz w:val="18"/>
          <w:szCs w:val="18"/>
          <w:u w:val="none"/>
        </w:rPr>
      </w:pPr>
      <w:r>
        <w:rPr>
          <w:rFonts w:hint="eastAsia" w:ascii="宋体" w:hAnsi="宋体"/>
          <w:b w:val="0"/>
          <w:bCs w:val="0"/>
          <w:color w:val="000000"/>
          <w:sz w:val="18"/>
          <w:szCs w:val="18"/>
          <w:u w:val="none"/>
        </w:rPr>
        <w:t>2、</w:t>
      </w:r>
      <w:r>
        <w:rPr>
          <w:rFonts w:hint="eastAsia" w:ascii="宋体" w:hAnsi="宋体" w:cs="宋体"/>
          <w:b w:val="0"/>
          <w:bCs w:val="0"/>
          <w:color w:val="000000"/>
          <w:sz w:val="18"/>
          <w:szCs w:val="18"/>
          <w:u w:val="none"/>
        </w:rPr>
        <w:t>甲方有权核查乙方派遣的</w:t>
      </w:r>
      <w:r>
        <w:rPr>
          <w:rFonts w:hint="eastAsia" w:ascii="宋体" w:hAnsi="宋体" w:cs="宋体"/>
          <w:b w:val="0"/>
          <w:bCs w:val="0"/>
          <w:color w:val="000000"/>
          <w:sz w:val="18"/>
          <w:szCs w:val="18"/>
          <w:u w:val="none"/>
          <w:lang w:eastAsia="zh-CN"/>
        </w:rPr>
        <w:t>监测</w:t>
      </w:r>
      <w:r>
        <w:rPr>
          <w:rFonts w:hint="eastAsia" w:ascii="宋体" w:hAnsi="宋体" w:cs="宋体"/>
          <w:b w:val="0"/>
          <w:bCs w:val="0"/>
          <w:color w:val="000000"/>
          <w:sz w:val="18"/>
          <w:szCs w:val="18"/>
          <w:u w:val="none"/>
        </w:rPr>
        <w:t>机构资质证书和现场</w:t>
      </w:r>
      <w:r>
        <w:rPr>
          <w:rFonts w:hint="eastAsia" w:ascii="宋体" w:hAnsi="宋体" w:cs="宋体"/>
          <w:b w:val="0"/>
          <w:bCs w:val="0"/>
          <w:color w:val="000000"/>
          <w:sz w:val="18"/>
          <w:szCs w:val="18"/>
          <w:u w:val="none"/>
          <w:lang w:eastAsia="zh-CN"/>
        </w:rPr>
        <w:t>监测</w:t>
      </w:r>
      <w:r>
        <w:rPr>
          <w:rFonts w:hint="eastAsia" w:ascii="宋体" w:hAnsi="宋体" w:cs="宋体"/>
          <w:b w:val="0"/>
          <w:bCs w:val="0"/>
          <w:color w:val="000000"/>
          <w:sz w:val="18"/>
          <w:szCs w:val="18"/>
          <w:u w:val="none"/>
        </w:rPr>
        <w:t>人员执业资格证书，</w:t>
      </w:r>
    </w:p>
    <w:p w14:paraId="3090EE37">
      <w:pPr>
        <w:spacing w:line="280" w:lineRule="exact"/>
        <w:rPr>
          <w:rFonts w:hint="eastAsia" w:ascii="宋体" w:hAnsi="宋体" w:cs="宋体"/>
          <w:b w:val="0"/>
          <w:bCs w:val="0"/>
          <w:color w:val="000000"/>
          <w:sz w:val="18"/>
          <w:szCs w:val="18"/>
          <w:u w:val="none"/>
        </w:rPr>
      </w:pPr>
      <w:r>
        <w:rPr>
          <w:rFonts w:hint="eastAsia" w:ascii="宋体" w:hAnsi="宋体" w:cs="宋体"/>
          <w:b w:val="0"/>
          <w:bCs w:val="0"/>
          <w:color w:val="000000"/>
          <w:sz w:val="18"/>
          <w:szCs w:val="18"/>
          <w:u w:val="none"/>
        </w:rPr>
        <w:t>3、乙方到场</w:t>
      </w:r>
      <w:r>
        <w:rPr>
          <w:rFonts w:hint="eastAsia" w:ascii="宋体" w:hAnsi="宋体" w:cs="宋体"/>
          <w:b w:val="0"/>
          <w:bCs w:val="0"/>
          <w:color w:val="000000"/>
          <w:sz w:val="18"/>
          <w:szCs w:val="18"/>
          <w:u w:val="none"/>
          <w:lang w:eastAsia="zh-CN"/>
        </w:rPr>
        <w:t>监测</w:t>
      </w:r>
      <w:r>
        <w:rPr>
          <w:rFonts w:hint="eastAsia" w:ascii="宋体" w:hAnsi="宋体" w:cs="宋体"/>
          <w:b w:val="0"/>
          <w:bCs w:val="0"/>
          <w:color w:val="000000"/>
          <w:sz w:val="18"/>
          <w:szCs w:val="18"/>
          <w:u w:val="none"/>
        </w:rPr>
        <w:t>时，甲方应提供必要的协助。</w:t>
      </w:r>
    </w:p>
    <w:p w14:paraId="29DF6EDC">
      <w:pPr>
        <w:spacing w:line="280" w:lineRule="exact"/>
        <w:rPr>
          <w:rFonts w:hint="eastAsia" w:ascii="宋体" w:hAnsi="宋体" w:cs="宋体"/>
          <w:b w:val="0"/>
          <w:bCs w:val="0"/>
          <w:color w:val="000000"/>
          <w:sz w:val="18"/>
          <w:szCs w:val="18"/>
          <w:u w:val="none"/>
        </w:rPr>
      </w:pPr>
      <w:r>
        <w:rPr>
          <w:rFonts w:hint="eastAsia" w:ascii="宋体" w:hAnsi="宋体" w:cs="宋体"/>
          <w:b w:val="0"/>
          <w:bCs w:val="0"/>
          <w:color w:val="000000"/>
          <w:sz w:val="18"/>
          <w:szCs w:val="18"/>
          <w:u w:val="none"/>
        </w:rPr>
        <w:t>4、监督核查监测任务和数据上报的完成情况。</w:t>
      </w:r>
    </w:p>
    <w:p w14:paraId="09AC1D4F">
      <w:pPr>
        <w:spacing w:line="280" w:lineRule="exact"/>
        <w:rPr>
          <w:rFonts w:hint="eastAsia" w:ascii="宋体" w:hAnsi="宋体" w:cs="宋体"/>
          <w:b w:val="0"/>
          <w:bCs w:val="0"/>
          <w:color w:val="000000"/>
          <w:sz w:val="18"/>
          <w:szCs w:val="18"/>
          <w:u w:val="none"/>
        </w:rPr>
      </w:pPr>
      <w:r>
        <w:rPr>
          <w:rFonts w:hint="eastAsia" w:ascii="宋体" w:hAnsi="宋体" w:cs="宋体"/>
          <w:b w:val="0"/>
          <w:bCs w:val="0"/>
          <w:color w:val="000000"/>
          <w:sz w:val="18"/>
          <w:szCs w:val="18"/>
          <w:u w:val="none"/>
        </w:rPr>
        <w:t>乙方的权利与义务：</w:t>
      </w:r>
    </w:p>
    <w:p w14:paraId="0717813A">
      <w:pPr>
        <w:autoSpaceDE w:val="0"/>
        <w:autoSpaceDN w:val="0"/>
        <w:adjustRightInd w:val="0"/>
        <w:spacing w:line="280" w:lineRule="exact"/>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（1）乙方具有国家规定的相关</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资质，根据甲方需求和国家有关环境保护法律、法规、政策等，为甲方在自行监测方案范围（附件一）内进行环保监测及数据登记上报。按照医院现行的自行监测方案开展自行监测并出具</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报告（纸质报告每样两份，并提供电子报告），自行监测方案附后，如遇环保部门要求方案调整，执行最新的方案，合同价不再调整。乙方依据国家和行业要求，对</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结果出具真实、规范、有效的符合CMA认证的检验报告。并由经办人、项目负责人和技术负责人签名，并加盖印章。乙方对出具的</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报告负有法律责任，</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 xml:space="preserve">报告必须实事求是，数据准确可靠。 </w:t>
      </w:r>
    </w:p>
    <w:p w14:paraId="0DFD62D8">
      <w:pPr>
        <w:autoSpaceDE w:val="0"/>
        <w:autoSpaceDN w:val="0"/>
        <w:adjustRightInd w:val="0"/>
        <w:spacing w:line="280" w:lineRule="exact"/>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（2）如有偶发数据异常，不能直接发布，应及时通知甲方，查清原因，待问题解决并复查正常后方能发布，如因乙方处理不当对甲方造成负面影响或经济损失，乙方承担全部责任。</w:t>
      </w:r>
    </w:p>
    <w:p w14:paraId="0570F497">
      <w:pPr>
        <w:autoSpaceDE w:val="0"/>
        <w:autoSpaceDN w:val="0"/>
        <w:adjustRightInd w:val="0"/>
        <w:spacing w:line="280" w:lineRule="exact"/>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（3）根据</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对象的具体情况，拟定具体的</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方案，明确项目负责人，至少指定2名以上执业人员负责实施，项目负责人与项目执行人员必须持有规定的有效证件入场</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，由甲方负责检查乙方的资质和进场人员的执业资格，乙方需无条件配合。执业人员</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时应当认真如实填写</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记录。</w:t>
      </w:r>
    </w:p>
    <w:p w14:paraId="318317D2">
      <w:pPr>
        <w:autoSpaceDE w:val="0"/>
        <w:autoSpaceDN w:val="0"/>
        <w:adjustRightInd w:val="0"/>
        <w:spacing w:line="280" w:lineRule="exact"/>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（4）服务方式： 数据监测、网上填报、技术咨询、现场指导。</w:t>
      </w:r>
    </w:p>
    <w:p w14:paraId="5B3C7B44">
      <w:pPr>
        <w:autoSpaceDE w:val="0"/>
        <w:autoSpaceDN w:val="0"/>
        <w:adjustRightInd w:val="0"/>
        <w:spacing w:line="280" w:lineRule="exact"/>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（5）乙方每次进场采样、</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等必须通知甲方，并在甲方监管下有序进行。每次采样、</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等不得影响甲方的正常经营秩序。采样人员必须保证派专人现场取样，拍照留存，取样人员要有资质证书。</w:t>
      </w:r>
    </w:p>
    <w:p w14:paraId="4DE11153">
      <w:pPr>
        <w:autoSpaceDE w:val="0"/>
        <w:autoSpaceDN w:val="0"/>
        <w:adjustRightInd w:val="0"/>
        <w:spacing w:line="280" w:lineRule="exact"/>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6）对于乙方提出的技术咨询意见，甲方需积极予以落实、整改，如甲方需要乙方对整改情况进行复查服务的，乙方须积极配合甲方进行整改复查，甲方应在整改完成后3日内告知乙方进行复查。如乙方在接到甲方通知3日内不进行响应复查，甲方有权要求乙方赔偿违约金，每延误一天复查，扣除年合同金额5‰/日；</w:t>
      </w:r>
    </w:p>
    <w:p w14:paraId="0757ED71">
      <w:pPr>
        <w:autoSpaceDE w:val="0"/>
        <w:autoSpaceDN w:val="0"/>
        <w:adjustRightInd w:val="0"/>
        <w:spacing w:line="280" w:lineRule="exact"/>
        <w:jc w:val="left"/>
        <w:rPr>
          <w:rFonts w:hint="eastAsia" w:hAnsi="宋体" w:cs="宋体"/>
          <w:b w:val="0"/>
          <w:bCs w:val="0"/>
          <w:color w:val="000000"/>
          <w:sz w:val="18"/>
          <w:szCs w:val="18"/>
          <w:u w:val="none"/>
        </w:rPr>
      </w:pPr>
      <w:r>
        <w:rPr>
          <w:rFonts w:hint="eastAsia" w:ascii="宋体" w:hAnsi="宋体"/>
          <w:b w:val="0"/>
          <w:bCs w:val="0"/>
          <w:color w:val="000000"/>
          <w:sz w:val="18"/>
          <w:szCs w:val="18"/>
          <w:u w:val="none"/>
        </w:rPr>
        <w:t>（7）乙方设专人配合甲方的工作，根据甲方提供的相关登报平台网址、用户名、密码等，同时及时将上级主管部门的填报要求通知甲方。</w:t>
      </w:r>
      <w:r>
        <w:rPr>
          <w:rFonts w:hint="eastAsia" w:hAnsi="宋体" w:cs="宋体"/>
          <w:b w:val="0"/>
          <w:bCs w:val="0"/>
          <w:color w:val="000000"/>
          <w:sz w:val="18"/>
          <w:szCs w:val="18"/>
          <w:u w:val="none"/>
        </w:rPr>
        <w:t>乙方项目负责人为</w:t>
      </w:r>
      <w:r>
        <w:rPr>
          <w:rFonts w:hint="eastAsia" w:hAnsi="宋体" w:cs="宋体"/>
          <w:b w:val="0"/>
          <w:bCs w:val="0"/>
          <w:color w:val="000000"/>
          <w:sz w:val="18"/>
          <w:szCs w:val="18"/>
          <w:u w:val="none"/>
          <w:lang w:val="en-US" w:eastAsia="zh-CN"/>
        </w:rPr>
        <w:t xml:space="preserve">    </w:t>
      </w:r>
      <w:r>
        <w:rPr>
          <w:rFonts w:hint="eastAsia" w:hAnsi="宋体" w:cs="宋体"/>
          <w:b w:val="0"/>
          <w:bCs w:val="0"/>
          <w:color w:val="000000"/>
          <w:sz w:val="18"/>
          <w:szCs w:val="18"/>
          <w:u w:val="none"/>
        </w:rPr>
        <w:t>， 联系方式为</w:t>
      </w:r>
      <w:r>
        <w:rPr>
          <w:rFonts w:hint="eastAsia" w:hAnsi="宋体" w:cs="宋体"/>
          <w:b w:val="0"/>
          <w:bCs w:val="0"/>
          <w:color w:val="000000"/>
          <w:sz w:val="18"/>
          <w:szCs w:val="18"/>
          <w:u w:val="none"/>
          <w:lang w:val="en-US" w:eastAsia="zh-CN"/>
        </w:rPr>
        <w:t xml:space="preserve">     </w:t>
      </w:r>
      <w:r>
        <w:rPr>
          <w:rFonts w:hint="eastAsia" w:hAnsi="宋体" w:cs="宋体"/>
          <w:b w:val="0"/>
          <w:bCs w:val="0"/>
          <w:color w:val="000000"/>
          <w:sz w:val="18"/>
          <w:szCs w:val="18"/>
          <w:u w:val="none"/>
        </w:rPr>
        <w:t xml:space="preserve">。 </w:t>
      </w:r>
    </w:p>
    <w:p w14:paraId="0BA3C7E7">
      <w:pPr>
        <w:spacing w:line="280" w:lineRule="exact"/>
        <w:rPr>
          <w:rFonts w:hint="eastAsia" w:ascii="宋体" w:hAnsi="宋体"/>
          <w:b w:val="0"/>
          <w:bCs w:val="0"/>
          <w:color w:val="000000"/>
          <w:sz w:val="18"/>
          <w:szCs w:val="18"/>
          <w:u w:val="none"/>
        </w:rPr>
      </w:pPr>
      <w:r>
        <w:rPr>
          <w:rFonts w:hint="eastAsia" w:ascii="宋体" w:hAnsi="宋体"/>
          <w:b w:val="0"/>
          <w:bCs w:val="0"/>
          <w:color w:val="000000"/>
          <w:sz w:val="18"/>
          <w:szCs w:val="18"/>
          <w:u w:val="none"/>
        </w:rPr>
        <w:t>第四条  质量标准</w:t>
      </w:r>
    </w:p>
    <w:p w14:paraId="0D4EE82B">
      <w:pPr>
        <w:spacing w:line="280" w:lineRule="exact"/>
        <w:rPr>
          <w:rFonts w:hint="eastAsia" w:ascii="宋体" w:hAnsi="宋体"/>
          <w:b w:val="0"/>
          <w:bCs w:val="0"/>
          <w:color w:val="000000"/>
          <w:sz w:val="18"/>
          <w:szCs w:val="18"/>
          <w:u w:val="none"/>
        </w:rPr>
      </w:pPr>
      <w:r>
        <w:rPr>
          <w:rFonts w:hint="eastAsia" w:ascii="宋体" w:hAnsi="宋体"/>
          <w:b w:val="0"/>
          <w:bCs w:val="0"/>
          <w:color w:val="000000"/>
          <w:sz w:val="18"/>
          <w:szCs w:val="18"/>
          <w:u w:val="none"/>
        </w:rPr>
        <w:t>1、严格按照现行国家与行业标准执行此项目。</w:t>
      </w:r>
    </w:p>
    <w:p w14:paraId="73CF2D20">
      <w:pPr>
        <w:spacing w:line="280" w:lineRule="exact"/>
        <w:rPr>
          <w:rFonts w:hint="eastAsia" w:ascii="宋体" w:hAnsi="宋体"/>
          <w:b w:val="0"/>
          <w:bCs w:val="0"/>
          <w:sz w:val="18"/>
          <w:szCs w:val="18"/>
          <w:u w:val="none"/>
        </w:rPr>
      </w:pPr>
      <w:r>
        <w:rPr>
          <w:rFonts w:hint="eastAsia" w:ascii="宋体" w:hAnsi="宋体"/>
          <w:b w:val="0"/>
          <w:bCs w:val="0"/>
          <w:color w:val="000000"/>
          <w:sz w:val="18"/>
          <w:szCs w:val="18"/>
          <w:u w:val="none"/>
        </w:rPr>
        <w:t>2、乙方应遵从合同条款的规定，细心认真地在规定时间内完成全部合同任务，未按照方案开展监测或不按时出具</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报告或真实性不</w:t>
      </w:r>
      <w:r>
        <w:rPr>
          <w:rFonts w:hint="eastAsia" w:ascii="宋体" w:hAnsi="宋体"/>
          <w:b w:val="0"/>
          <w:bCs w:val="0"/>
          <w:sz w:val="18"/>
          <w:szCs w:val="18"/>
          <w:u w:val="none"/>
        </w:rPr>
        <w:t>足的，甲方有权终止合同，因此造成的损失和上级处罚由乙方负责全部赔偿责任，且甲方有权</w:t>
      </w:r>
      <w:r>
        <w:rPr>
          <w:rFonts w:hint="eastAsia" w:ascii="宋体" w:hAnsi="宋体"/>
          <w:b w:val="0"/>
          <w:bCs w:val="0"/>
          <w:color w:val="FF0000"/>
          <w:sz w:val="18"/>
          <w:szCs w:val="18"/>
          <w:u w:val="none"/>
        </w:rPr>
        <w:t>再让</w:t>
      </w:r>
      <w:r>
        <w:rPr>
          <w:rFonts w:hint="eastAsia" w:ascii="宋体" w:hAnsi="宋体"/>
          <w:b w:val="0"/>
          <w:bCs w:val="0"/>
          <w:sz w:val="18"/>
          <w:szCs w:val="18"/>
          <w:u w:val="none"/>
        </w:rPr>
        <w:t>乙方赔偿年</w:t>
      </w:r>
      <w:r>
        <w:rPr>
          <w:rFonts w:hint="eastAsia" w:ascii="宋体" w:hAnsi="宋体"/>
          <w:b w:val="0"/>
          <w:bCs w:val="0"/>
          <w:sz w:val="18"/>
          <w:szCs w:val="18"/>
          <w:u w:val="none"/>
          <w:lang w:eastAsia="zh-CN"/>
        </w:rPr>
        <w:t>监测</w:t>
      </w:r>
      <w:r>
        <w:rPr>
          <w:rFonts w:hint="eastAsia" w:ascii="宋体" w:hAnsi="宋体"/>
          <w:b w:val="0"/>
          <w:bCs w:val="0"/>
          <w:sz w:val="18"/>
          <w:szCs w:val="18"/>
          <w:u w:val="none"/>
        </w:rPr>
        <w:t>费的50%的违约金.</w:t>
      </w:r>
    </w:p>
    <w:p w14:paraId="681357E8">
      <w:pPr>
        <w:spacing w:line="280" w:lineRule="exact"/>
        <w:rPr>
          <w:rFonts w:hint="eastAsia" w:ascii="宋体" w:hAnsi="宋体"/>
          <w:b w:val="0"/>
          <w:bCs w:val="0"/>
          <w:sz w:val="18"/>
          <w:szCs w:val="18"/>
          <w:u w:val="none"/>
        </w:rPr>
      </w:pPr>
      <w:r>
        <w:rPr>
          <w:rFonts w:hint="eastAsia" w:ascii="宋体" w:hAnsi="宋体"/>
          <w:b w:val="0"/>
          <w:bCs w:val="0"/>
          <w:sz w:val="18"/>
          <w:szCs w:val="18"/>
          <w:u w:val="none"/>
        </w:rPr>
        <w:t>3、乙方应对甲方由于采用乙方的服务，或乙方人员的失误而对甲方造成的直接或造成第三者的财产损失负责。</w:t>
      </w:r>
    </w:p>
    <w:p w14:paraId="7CCB1F7B">
      <w:pPr>
        <w:spacing w:line="280" w:lineRule="exact"/>
        <w:rPr>
          <w:b w:val="0"/>
          <w:bCs w:val="0"/>
          <w:u w:val="none"/>
        </w:rPr>
      </w:pPr>
      <w:r>
        <w:rPr>
          <w:rFonts w:hint="eastAsia" w:ascii="宋体" w:hAnsi="宋体"/>
          <w:b w:val="0"/>
          <w:bCs w:val="0"/>
          <w:sz w:val="18"/>
          <w:szCs w:val="18"/>
          <w:u w:val="none"/>
        </w:rPr>
        <w:t>4、乙方遵守安全操作规程的规定，遵守甲方有关安全要求.因此项目造成的一切安全事故，与甲方无关。</w:t>
      </w:r>
    </w:p>
    <w:p w14:paraId="3E704A2D">
      <w:pPr>
        <w:autoSpaceDE w:val="0"/>
        <w:autoSpaceDN w:val="0"/>
        <w:adjustRightInd w:val="0"/>
        <w:spacing w:line="280" w:lineRule="exact"/>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第五条  保密条款</w:t>
      </w:r>
    </w:p>
    <w:p w14:paraId="31B5B013">
      <w:pPr>
        <w:autoSpaceDE w:val="0"/>
        <w:autoSpaceDN w:val="0"/>
        <w:adjustRightInd w:val="0"/>
        <w:spacing w:line="280" w:lineRule="exact"/>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双方当事人应对下列技术资料承担保密义务：</w:t>
      </w:r>
    </w:p>
    <w:p w14:paraId="425616B5">
      <w:pPr>
        <w:autoSpaceDE w:val="0"/>
        <w:autoSpaceDN w:val="0"/>
        <w:adjustRightInd w:val="0"/>
        <w:spacing w:line="280" w:lineRule="exact"/>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1、甲方提供的各类技术、经济、环境指标及技术方案；</w:t>
      </w:r>
    </w:p>
    <w:p w14:paraId="0D98AFED">
      <w:pPr>
        <w:autoSpaceDE w:val="0"/>
        <w:autoSpaceDN w:val="0"/>
        <w:adjustRightInd w:val="0"/>
        <w:spacing w:line="280" w:lineRule="exact"/>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2、双方合同金额、乙方技术服务资料，工程师联系方式及其它相关资料；</w:t>
      </w:r>
    </w:p>
    <w:p w14:paraId="1997C0C7">
      <w:pPr>
        <w:tabs>
          <w:tab w:val="center" w:pos="5233"/>
        </w:tabs>
        <w:autoSpaceDE w:val="0"/>
        <w:autoSpaceDN w:val="0"/>
        <w:adjustRightInd w:val="0"/>
        <w:spacing w:line="280" w:lineRule="exact"/>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保密期限：永久。</w:t>
      </w:r>
      <w:r>
        <w:rPr>
          <w:rFonts w:hint="eastAsia" w:ascii="宋体" w:hAnsi="宋体"/>
          <w:b w:val="0"/>
          <w:bCs w:val="0"/>
          <w:color w:val="000000"/>
          <w:sz w:val="18"/>
          <w:szCs w:val="18"/>
          <w:u w:val="none"/>
        </w:rPr>
        <w:tab/>
      </w:r>
    </w:p>
    <w:p w14:paraId="4C212F25">
      <w:pPr>
        <w:autoSpaceDE w:val="0"/>
        <w:autoSpaceDN w:val="0"/>
        <w:adjustRightInd w:val="0"/>
        <w:spacing w:line="280" w:lineRule="exact"/>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第六条 违约责任</w:t>
      </w:r>
    </w:p>
    <w:p w14:paraId="4FBFE819">
      <w:pPr>
        <w:autoSpaceDE w:val="0"/>
        <w:autoSpaceDN w:val="0"/>
        <w:adjustRightInd w:val="0"/>
        <w:spacing w:line="280" w:lineRule="exact"/>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1、双方确定，出现发生不可抗力，致使本合同的履行成为不必要或不可能的，可以解除本合同；</w:t>
      </w:r>
    </w:p>
    <w:p w14:paraId="182AEBE7">
      <w:pPr>
        <w:autoSpaceDE w:val="0"/>
        <w:autoSpaceDN w:val="0"/>
        <w:adjustRightInd w:val="0"/>
        <w:spacing w:line="280" w:lineRule="exact"/>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2、乙方须按照甲方提交的正式的自行监测方案内规定的项目、频次、点位等内容进行监测，如满足各类</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条件后1周内不开展</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工作，甲方有权解除合同，乙方不按时</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并上传数据，或数据出现误差不及时和甲方共同解决问题，导致甲方被环保部门处罚，由乙方承担全部赔偿责任，且甲方有权再让乙方赔偿年服务费用的50%的违约金。</w:t>
      </w:r>
    </w:p>
    <w:p w14:paraId="139F9D64">
      <w:pPr>
        <w:autoSpaceDE w:val="0"/>
        <w:autoSpaceDN w:val="0"/>
        <w:adjustRightInd w:val="0"/>
        <w:spacing w:line="280" w:lineRule="exact"/>
        <w:jc w:val="left"/>
        <w:rPr>
          <w:rFonts w:ascii="宋体" w:hAnsi="宋体"/>
          <w:b w:val="0"/>
          <w:bCs w:val="0"/>
          <w:color w:val="000000"/>
          <w:sz w:val="18"/>
          <w:szCs w:val="18"/>
          <w:u w:val="none"/>
        </w:rPr>
      </w:pPr>
      <w:r>
        <w:rPr>
          <w:rFonts w:hint="eastAsia" w:ascii="宋体" w:hAnsi="宋体"/>
          <w:b w:val="0"/>
          <w:bCs w:val="0"/>
          <w:color w:val="000000"/>
          <w:sz w:val="18"/>
          <w:szCs w:val="18"/>
          <w:u w:val="none"/>
        </w:rPr>
        <w:t>第七条 合同的变更和终止</w:t>
      </w:r>
    </w:p>
    <w:p w14:paraId="7773C49B">
      <w:pPr>
        <w:autoSpaceDE w:val="0"/>
        <w:autoSpaceDN w:val="0"/>
        <w:adjustRightInd w:val="0"/>
        <w:spacing w:line="280" w:lineRule="exact"/>
        <w:jc w:val="left"/>
        <w:rPr>
          <w:rFonts w:ascii="宋体" w:hAnsi="宋体"/>
          <w:b w:val="0"/>
          <w:bCs w:val="0"/>
          <w:sz w:val="18"/>
          <w:szCs w:val="18"/>
          <w:u w:val="none"/>
        </w:rPr>
      </w:pPr>
      <w:r>
        <w:rPr>
          <w:rFonts w:hint="eastAsia" w:ascii="宋体" w:hAnsi="宋体"/>
          <w:b w:val="0"/>
          <w:bCs w:val="0"/>
          <w:color w:val="000000"/>
          <w:sz w:val="18"/>
          <w:szCs w:val="18"/>
          <w:u w:val="none"/>
        </w:rPr>
        <w:t>1、除《政府采购法》第50条第二款规定的情形外，本合同一经签订，甲乙双方不得擅自变</w:t>
      </w:r>
      <w:r>
        <w:rPr>
          <w:rFonts w:hint="eastAsia" w:ascii="宋体" w:hAnsi="宋体"/>
          <w:b w:val="0"/>
          <w:bCs w:val="0"/>
          <w:sz w:val="18"/>
          <w:szCs w:val="18"/>
          <w:u w:val="none"/>
        </w:rPr>
        <w:t>更、中止或终止合同。</w:t>
      </w:r>
    </w:p>
    <w:p w14:paraId="345FB33B">
      <w:pPr>
        <w:autoSpaceDE w:val="0"/>
        <w:autoSpaceDN w:val="0"/>
        <w:adjustRightInd w:val="0"/>
        <w:spacing w:line="280" w:lineRule="exact"/>
        <w:jc w:val="left"/>
        <w:rPr>
          <w:rFonts w:hint="eastAsia" w:ascii="宋体" w:hAnsi="宋体"/>
          <w:b w:val="0"/>
          <w:bCs w:val="0"/>
          <w:sz w:val="18"/>
          <w:szCs w:val="18"/>
          <w:u w:val="none"/>
        </w:rPr>
      </w:pPr>
      <w:r>
        <w:rPr>
          <w:rFonts w:hint="eastAsia" w:ascii="宋体" w:hAnsi="宋体"/>
          <w:b w:val="0"/>
          <w:bCs w:val="0"/>
          <w:sz w:val="18"/>
          <w:szCs w:val="18"/>
          <w:u w:val="none"/>
        </w:rPr>
        <w:t>2、除发生法律规定的不能预见、不能避免并不能克服的客观情况外，甲乙双方不得放弃或拒绝履行合同。乙方放弃或拒绝履行合同，按合同总价的30%承担违约责任，同时将被列入我院采购黑名单。</w:t>
      </w:r>
    </w:p>
    <w:p w14:paraId="516A941F">
      <w:pPr>
        <w:autoSpaceDE w:val="0"/>
        <w:autoSpaceDN w:val="0"/>
        <w:adjustRightInd w:val="0"/>
        <w:spacing w:line="280" w:lineRule="exact"/>
        <w:jc w:val="left"/>
        <w:rPr>
          <w:rFonts w:ascii="宋体" w:hAnsi="宋体"/>
          <w:b w:val="0"/>
          <w:bCs w:val="0"/>
          <w:sz w:val="18"/>
          <w:szCs w:val="18"/>
          <w:u w:val="none"/>
        </w:rPr>
      </w:pPr>
      <w:r>
        <w:rPr>
          <w:rFonts w:hint="eastAsia" w:ascii="宋体" w:hAnsi="宋体"/>
          <w:b w:val="0"/>
          <w:bCs w:val="0"/>
          <w:sz w:val="18"/>
          <w:szCs w:val="18"/>
          <w:u w:val="none"/>
        </w:rPr>
        <w:t>第八条  合同的转让</w:t>
      </w:r>
    </w:p>
    <w:p w14:paraId="5E843520">
      <w:pPr>
        <w:autoSpaceDE w:val="0"/>
        <w:autoSpaceDN w:val="0"/>
        <w:adjustRightInd w:val="0"/>
        <w:spacing w:line="280" w:lineRule="exact"/>
        <w:jc w:val="left"/>
        <w:rPr>
          <w:rFonts w:ascii="宋体" w:hAnsi="宋体"/>
          <w:b w:val="0"/>
          <w:bCs w:val="0"/>
          <w:sz w:val="18"/>
          <w:szCs w:val="18"/>
          <w:u w:val="none"/>
        </w:rPr>
      </w:pPr>
      <w:r>
        <w:rPr>
          <w:rFonts w:hint="eastAsia" w:ascii="宋体" w:hAnsi="宋体"/>
          <w:b w:val="0"/>
          <w:bCs w:val="0"/>
          <w:sz w:val="18"/>
          <w:szCs w:val="18"/>
          <w:u w:val="none"/>
        </w:rPr>
        <w:t>乙方不得擅自部分或全部转让其应履行的合同义务。</w:t>
      </w:r>
    </w:p>
    <w:p w14:paraId="2A17DAC0">
      <w:pPr>
        <w:autoSpaceDE w:val="0"/>
        <w:autoSpaceDN w:val="0"/>
        <w:adjustRightInd w:val="0"/>
        <w:spacing w:line="280" w:lineRule="exact"/>
        <w:jc w:val="left"/>
        <w:rPr>
          <w:rFonts w:ascii="宋体" w:hAnsi="宋体"/>
          <w:b w:val="0"/>
          <w:bCs w:val="0"/>
          <w:sz w:val="18"/>
          <w:szCs w:val="18"/>
          <w:u w:val="none"/>
        </w:rPr>
      </w:pPr>
      <w:r>
        <w:rPr>
          <w:rFonts w:hint="eastAsia" w:ascii="宋体" w:hAnsi="宋体"/>
          <w:b w:val="0"/>
          <w:bCs w:val="0"/>
          <w:sz w:val="18"/>
          <w:szCs w:val="18"/>
          <w:u w:val="none"/>
        </w:rPr>
        <w:t xml:space="preserve">第九条  争议的解决  </w:t>
      </w:r>
    </w:p>
    <w:p w14:paraId="64512401">
      <w:pPr>
        <w:autoSpaceDE w:val="0"/>
        <w:autoSpaceDN w:val="0"/>
        <w:adjustRightInd w:val="0"/>
        <w:spacing w:line="280" w:lineRule="exact"/>
        <w:ind w:firstLine="360" w:firstLineChars="200"/>
        <w:jc w:val="left"/>
        <w:rPr>
          <w:rFonts w:ascii="宋体" w:hAnsi="宋体"/>
          <w:b w:val="0"/>
          <w:bCs w:val="0"/>
          <w:sz w:val="18"/>
          <w:szCs w:val="18"/>
          <w:u w:val="none"/>
        </w:rPr>
      </w:pPr>
      <w:r>
        <w:rPr>
          <w:rFonts w:hint="eastAsia" w:ascii="宋体" w:hAnsi="宋体"/>
          <w:b w:val="0"/>
          <w:bCs w:val="0"/>
          <w:sz w:val="18"/>
          <w:szCs w:val="18"/>
          <w:u w:val="none"/>
        </w:rPr>
        <w:t>因履行本合同引起的或与本合同有关的争议，甲、乙双方应首先通过友好协商解决，如果协商不能解决争议，可向甲方所在地有管辖权的人民法院提起诉讼。在诉讼期间，本合同应继续履行。</w:t>
      </w:r>
    </w:p>
    <w:p w14:paraId="6469DB07">
      <w:pPr>
        <w:autoSpaceDE w:val="0"/>
        <w:autoSpaceDN w:val="0"/>
        <w:adjustRightInd w:val="0"/>
        <w:spacing w:line="280" w:lineRule="exact"/>
        <w:jc w:val="left"/>
        <w:rPr>
          <w:rFonts w:ascii="宋体" w:hAnsi="宋体"/>
          <w:b w:val="0"/>
          <w:bCs w:val="0"/>
          <w:sz w:val="18"/>
          <w:szCs w:val="18"/>
          <w:u w:val="none"/>
        </w:rPr>
      </w:pPr>
      <w:r>
        <w:rPr>
          <w:rFonts w:hint="eastAsia" w:ascii="宋体" w:hAnsi="宋体"/>
          <w:b w:val="0"/>
          <w:bCs w:val="0"/>
          <w:sz w:val="18"/>
          <w:szCs w:val="18"/>
          <w:u w:val="none"/>
        </w:rPr>
        <w:t xml:space="preserve">第十条  诚实信用 </w:t>
      </w:r>
    </w:p>
    <w:p w14:paraId="623CF44D">
      <w:pPr>
        <w:autoSpaceDE w:val="0"/>
        <w:autoSpaceDN w:val="0"/>
        <w:adjustRightInd w:val="0"/>
        <w:spacing w:line="280" w:lineRule="exact"/>
        <w:jc w:val="left"/>
        <w:rPr>
          <w:rFonts w:hint="eastAsia" w:ascii="宋体" w:hAnsi="宋体"/>
          <w:b w:val="0"/>
          <w:bCs w:val="0"/>
          <w:sz w:val="18"/>
          <w:szCs w:val="18"/>
          <w:u w:val="none"/>
        </w:rPr>
      </w:pPr>
      <w:r>
        <w:rPr>
          <w:rFonts w:hint="eastAsia" w:ascii="宋体" w:hAnsi="宋体"/>
          <w:b w:val="0"/>
          <w:bCs w:val="0"/>
          <w:sz w:val="18"/>
          <w:szCs w:val="18"/>
          <w:u w:val="none"/>
        </w:rPr>
        <w:t>1、乙方应诚实信用，严格按照招标文件要求和投标承诺履行合同，不向甲方进行商业贿赂或者提供不正当利益。凡乙方有诚信档案不良记录的，甲方可无条件终止合同。</w:t>
      </w:r>
    </w:p>
    <w:p w14:paraId="0A1551AB">
      <w:pPr>
        <w:autoSpaceDE w:val="0"/>
        <w:autoSpaceDN w:val="0"/>
        <w:adjustRightInd w:val="0"/>
        <w:spacing w:line="280" w:lineRule="exact"/>
        <w:jc w:val="left"/>
        <w:rPr>
          <w:rFonts w:ascii="宋体" w:hAnsi="宋体"/>
          <w:b w:val="0"/>
          <w:bCs w:val="0"/>
          <w:sz w:val="18"/>
          <w:szCs w:val="18"/>
          <w:u w:val="none"/>
        </w:rPr>
      </w:pPr>
      <w:r>
        <w:rPr>
          <w:rFonts w:hint="eastAsia" w:ascii="宋体" w:hAnsi="宋体"/>
          <w:b w:val="0"/>
          <w:bCs w:val="0"/>
          <w:sz w:val="18"/>
          <w:szCs w:val="18"/>
          <w:u w:val="none"/>
        </w:rPr>
        <w:t>2、乙方应加强对其指定的销售代表等人员的管理，如乙方出现商业贿赂等不良行为将被记入诚信档案，一经发现，甲方有权无条件终止合同，并向有关部门上报。</w:t>
      </w:r>
    </w:p>
    <w:p w14:paraId="02C8D24C">
      <w:pPr>
        <w:autoSpaceDE w:val="0"/>
        <w:autoSpaceDN w:val="0"/>
        <w:adjustRightInd w:val="0"/>
        <w:spacing w:line="280" w:lineRule="exact"/>
        <w:jc w:val="left"/>
        <w:rPr>
          <w:rFonts w:ascii="宋体" w:hAnsi="宋体"/>
          <w:b w:val="0"/>
          <w:bCs w:val="0"/>
          <w:sz w:val="18"/>
          <w:szCs w:val="18"/>
          <w:u w:val="none"/>
        </w:rPr>
      </w:pPr>
      <w:r>
        <w:rPr>
          <w:rFonts w:hint="eastAsia" w:ascii="宋体" w:hAnsi="宋体"/>
          <w:b w:val="0"/>
          <w:bCs w:val="0"/>
          <w:sz w:val="18"/>
          <w:szCs w:val="18"/>
          <w:u w:val="none"/>
        </w:rPr>
        <w:t xml:space="preserve">第十一条  合同生效及其他 </w:t>
      </w:r>
    </w:p>
    <w:p w14:paraId="0F521DB4">
      <w:pPr>
        <w:autoSpaceDE w:val="0"/>
        <w:autoSpaceDN w:val="0"/>
        <w:adjustRightInd w:val="0"/>
        <w:spacing w:line="280" w:lineRule="exact"/>
        <w:jc w:val="left"/>
        <w:rPr>
          <w:rFonts w:ascii="宋体" w:hAnsi="宋体"/>
          <w:b w:val="0"/>
          <w:bCs w:val="0"/>
          <w:sz w:val="18"/>
          <w:szCs w:val="18"/>
          <w:u w:val="none"/>
        </w:rPr>
      </w:pPr>
      <w:r>
        <w:rPr>
          <w:rFonts w:hint="eastAsia" w:ascii="宋体" w:hAnsi="宋体"/>
          <w:b w:val="0"/>
          <w:bCs w:val="0"/>
          <w:sz w:val="18"/>
          <w:szCs w:val="18"/>
          <w:u w:val="none"/>
        </w:rPr>
        <w:t>1、本合同经双方法定代表人或授权委托代表人签字或签章并加盖单位公章后生效。</w:t>
      </w:r>
    </w:p>
    <w:p w14:paraId="482AFEB5">
      <w:pPr>
        <w:autoSpaceDE w:val="0"/>
        <w:autoSpaceDN w:val="0"/>
        <w:adjustRightInd w:val="0"/>
        <w:spacing w:line="280" w:lineRule="exact"/>
        <w:jc w:val="left"/>
        <w:rPr>
          <w:rFonts w:ascii="宋体" w:hAnsi="宋体"/>
          <w:b w:val="0"/>
          <w:bCs w:val="0"/>
          <w:sz w:val="18"/>
          <w:szCs w:val="18"/>
          <w:u w:val="none"/>
        </w:rPr>
      </w:pPr>
      <w:r>
        <w:rPr>
          <w:rFonts w:hint="eastAsia" w:ascii="宋体" w:hAnsi="宋体"/>
          <w:b w:val="0"/>
          <w:bCs w:val="0"/>
          <w:sz w:val="18"/>
          <w:szCs w:val="18"/>
          <w:u w:val="none"/>
        </w:rPr>
        <w:t>2、本合同正本一式叁份，具有同等法律效力，甲方执贰份，乙方执壹份。</w:t>
      </w:r>
    </w:p>
    <w:p w14:paraId="25A6EBAD">
      <w:pPr>
        <w:autoSpaceDE w:val="0"/>
        <w:autoSpaceDN w:val="0"/>
        <w:adjustRightInd w:val="0"/>
        <w:spacing w:line="280" w:lineRule="exact"/>
        <w:jc w:val="left"/>
        <w:rPr>
          <w:rFonts w:hint="eastAsia" w:ascii="宋体" w:hAnsi="宋体"/>
          <w:b w:val="0"/>
          <w:bCs w:val="0"/>
          <w:sz w:val="18"/>
          <w:szCs w:val="18"/>
          <w:u w:val="none"/>
        </w:rPr>
      </w:pPr>
      <w:r>
        <w:rPr>
          <w:rFonts w:hint="eastAsia" w:ascii="宋体" w:hAnsi="宋体"/>
          <w:b w:val="0"/>
          <w:bCs w:val="0"/>
          <w:sz w:val="18"/>
          <w:szCs w:val="18"/>
          <w:u w:val="none"/>
        </w:rPr>
        <w:t>3、本合同未尽事宜，遵照《民法典》有关条文执行。</w:t>
      </w:r>
    </w:p>
    <w:p w14:paraId="199F0D3E">
      <w:pPr>
        <w:autoSpaceDE w:val="0"/>
        <w:autoSpaceDN w:val="0"/>
        <w:adjustRightInd w:val="0"/>
        <w:spacing w:line="280" w:lineRule="exact"/>
        <w:ind w:firstLine="270" w:firstLineChars="150"/>
        <w:jc w:val="left"/>
        <w:rPr>
          <w:rFonts w:hint="eastAsia" w:ascii="宋体" w:hAnsi="宋体"/>
          <w:b w:val="0"/>
          <w:bCs w:val="0"/>
          <w:sz w:val="18"/>
          <w:szCs w:val="18"/>
          <w:u w:val="none"/>
        </w:rPr>
      </w:pPr>
      <w:r>
        <w:rPr>
          <w:rFonts w:hint="eastAsia" w:ascii="宋体" w:hAnsi="宋体"/>
          <w:b w:val="0"/>
          <w:bCs w:val="0"/>
          <w:sz w:val="18"/>
          <w:szCs w:val="18"/>
          <w:u w:val="none"/>
        </w:rPr>
        <w:t>（以下无正文）</w:t>
      </w:r>
    </w:p>
    <w:p w14:paraId="14F4F3D6">
      <w:pPr>
        <w:autoSpaceDE w:val="0"/>
        <w:autoSpaceDN w:val="0"/>
        <w:adjustRightInd w:val="0"/>
        <w:spacing w:line="400" w:lineRule="exact"/>
        <w:ind w:firstLine="270" w:firstLineChars="150"/>
        <w:jc w:val="left"/>
        <w:rPr>
          <w:rFonts w:hint="eastAsia" w:cs="仿宋"/>
          <w:b w:val="0"/>
          <w:bCs w:val="0"/>
          <w:sz w:val="18"/>
          <w:szCs w:val="18"/>
          <w:u w:val="none"/>
        </w:rPr>
      </w:pPr>
    </w:p>
    <w:p w14:paraId="01A5CA2A">
      <w:pPr>
        <w:autoSpaceDE w:val="0"/>
        <w:autoSpaceDN w:val="0"/>
        <w:adjustRightInd w:val="0"/>
        <w:spacing w:line="400" w:lineRule="exact"/>
        <w:ind w:firstLine="270" w:firstLineChars="150"/>
        <w:jc w:val="left"/>
        <w:rPr>
          <w:rFonts w:hint="eastAsia" w:cs="仿宋"/>
          <w:b w:val="0"/>
          <w:bCs w:val="0"/>
          <w:sz w:val="18"/>
          <w:szCs w:val="18"/>
          <w:u w:val="none"/>
        </w:rPr>
      </w:pPr>
    </w:p>
    <w:p w14:paraId="3BC15D85">
      <w:pPr>
        <w:pStyle w:val="20"/>
        <w:spacing w:line="400" w:lineRule="exact"/>
        <w:rPr>
          <w:rFonts w:hint="eastAsia" w:ascii="仿宋" w:hAnsi="仿宋" w:eastAsia="仿宋" w:cs="仿宋"/>
          <w:b/>
          <w:bCs/>
          <w:sz w:val="28"/>
          <w:szCs w:val="28"/>
          <w:lang w:val="zh-CN" w:eastAsia="zh-CN"/>
        </w:rPr>
      </w:pPr>
      <w:r>
        <w:rPr>
          <w:rFonts w:hint="eastAsia" w:ascii="仿宋" w:hAnsi="仿宋" w:eastAsia="仿宋" w:cs="仿宋"/>
          <w:b/>
          <w:bCs/>
          <w:sz w:val="28"/>
          <w:szCs w:val="28"/>
          <w:lang w:val="zh-CN" w:eastAsia="zh-CN"/>
        </w:rPr>
        <w:t>附件</w:t>
      </w:r>
      <w:r>
        <w:rPr>
          <w:rFonts w:hint="eastAsia" w:ascii="仿宋" w:hAnsi="仿宋" w:eastAsia="仿宋" w:cs="仿宋"/>
          <w:b/>
          <w:bCs/>
          <w:sz w:val="28"/>
          <w:szCs w:val="28"/>
          <w:lang w:val="en-US" w:eastAsia="zh-CN"/>
        </w:rPr>
        <w:t>7：</w:t>
      </w:r>
      <w:r>
        <w:rPr>
          <w:rFonts w:hint="eastAsia" w:ascii="仿宋" w:hAnsi="仿宋" w:eastAsia="仿宋" w:cs="仿宋"/>
          <w:b/>
          <w:bCs/>
          <w:sz w:val="28"/>
          <w:szCs w:val="28"/>
          <w:lang w:val="zh-CN" w:eastAsia="zh-CN"/>
        </w:rPr>
        <w:t>风险提示函</w:t>
      </w:r>
    </w:p>
    <w:p w14:paraId="08A3C760">
      <w:pPr>
        <w:spacing w:line="400" w:lineRule="exact"/>
        <w:ind w:left="0" w:leftChars="0" w:firstLine="560" w:firstLineChars="200"/>
        <w:rPr>
          <w:rFonts w:hint="eastAsia" w:cs="仿宋"/>
          <w:b w:val="0"/>
          <w:bCs w:val="0"/>
          <w:u w:val="none"/>
          <w:lang w:val="zh-CN"/>
        </w:rPr>
      </w:pPr>
    </w:p>
    <w:p w14:paraId="5258EF26">
      <w:pPr>
        <w:spacing w:line="400" w:lineRule="exact"/>
        <w:ind w:left="0" w:leftChars="0" w:firstLine="560" w:firstLineChars="200"/>
        <w:rPr>
          <w:rFonts w:hint="eastAsia" w:cs="仿宋"/>
          <w:b w:val="0"/>
          <w:bCs w:val="0"/>
          <w:u w:val="none"/>
          <w:lang w:val="zh-CN"/>
        </w:rPr>
      </w:pPr>
      <w:r>
        <w:rPr>
          <w:rFonts w:hint="eastAsia" w:cs="仿宋"/>
          <w:b w:val="0"/>
          <w:bCs w:val="0"/>
          <w:u w:val="none"/>
          <w:lang w:val="zh-CN"/>
        </w:rPr>
        <w:t>根据近期审计、巡查的情况，按照«中华人民共和国政府采购法实施条例»第十八条单位负责人为同一人或者存在直接控股、管理关系的不同供应商，不得参加同一合同项下的政府采购活动。各投标人应高度重视，单位负责人为同一人，以及与其公司有同一控股关系、股权伙伴关系的公司，不得参与同一合同项目的投标，否则有围标、串标之嫌疑，其风险自行承担。</w:t>
      </w:r>
    </w:p>
    <w:p w14:paraId="68C4EE56">
      <w:pPr>
        <w:spacing w:line="400" w:lineRule="exact"/>
        <w:ind w:left="0" w:leftChars="0" w:firstLine="560" w:firstLineChars="200"/>
        <w:rPr>
          <w:rFonts w:hint="eastAsia" w:cs="仿宋"/>
          <w:b w:val="0"/>
          <w:bCs w:val="0"/>
          <w:u w:val="none"/>
          <w:lang w:val="zh-CN"/>
        </w:rPr>
      </w:pPr>
    </w:p>
    <w:p w14:paraId="23E6BCCF">
      <w:pPr>
        <w:spacing w:line="400" w:lineRule="exact"/>
        <w:ind w:left="0" w:leftChars="0" w:firstLine="560" w:firstLineChars="200"/>
        <w:rPr>
          <w:rFonts w:hint="eastAsia" w:cs="仿宋"/>
          <w:b w:val="0"/>
          <w:bCs w:val="0"/>
          <w:u w:val="none"/>
          <w:lang w:val="zh-CN"/>
        </w:rPr>
      </w:pPr>
    </w:p>
    <w:p w14:paraId="23E9720F">
      <w:pPr>
        <w:spacing w:line="400" w:lineRule="exact"/>
        <w:ind w:left="0" w:leftChars="0" w:firstLine="560" w:firstLineChars="200"/>
        <w:rPr>
          <w:rFonts w:hint="eastAsia" w:cs="仿宋"/>
          <w:b w:val="0"/>
          <w:bCs w:val="0"/>
          <w:u w:val="none"/>
          <w:lang w:val="zh-CN"/>
        </w:rPr>
      </w:pPr>
    </w:p>
    <w:p w14:paraId="2E1FB696">
      <w:pPr>
        <w:spacing w:line="400" w:lineRule="exact"/>
        <w:ind w:left="0" w:leftChars="0" w:firstLine="560" w:firstLineChars="200"/>
        <w:rPr>
          <w:rFonts w:hint="eastAsia" w:cs="仿宋"/>
          <w:b w:val="0"/>
          <w:bCs w:val="0"/>
          <w:u w:val="none"/>
          <w:lang w:val="zh-CN"/>
        </w:rPr>
      </w:pPr>
      <w:r>
        <w:rPr>
          <w:rFonts w:hint="eastAsia" w:cs="仿宋"/>
          <w:b w:val="0"/>
          <w:bCs w:val="0"/>
          <w:u w:val="none"/>
          <w:lang w:val="zh-CN"/>
        </w:rPr>
        <w:t xml:space="preserve">                      </w:t>
      </w:r>
      <w:r>
        <w:rPr>
          <w:rFonts w:hint="eastAsia" w:cs="仿宋"/>
          <w:b w:val="0"/>
          <w:bCs w:val="0"/>
          <w:u w:val="none"/>
          <w:lang w:val="en-US" w:eastAsia="zh-CN"/>
        </w:rPr>
        <w:t xml:space="preserve">                     </w:t>
      </w:r>
      <w:r>
        <w:rPr>
          <w:rFonts w:hint="eastAsia" w:cs="仿宋"/>
          <w:b w:val="0"/>
          <w:bCs w:val="0"/>
          <w:u w:val="none"/>
          <w:lang w:val="zh-CN"/>
        </w:rPr>
        <w:t xml:space="preserve"> 南京市溧水区人民医院</w:t>
      </w:r>
    </w:p>
    <w:p w14:paraId="174E7562">
      <w:pPr>
        <w:spacing w:line="400" w:lineRule="exact"/>
        <w:ind w:left="0" w:leftChars="0" w:firstLine="560" w:firstLineChars="200"/>
        <w:rPr>
          <w:rFonts w:hint="eastAsia" w:cs="仿宋"/>
          <w:b w:val="0"/>
          <w:bCs w:val="0"/>
          <w:u w:val="none"/>
          <w:lang w:val="zh-CN"/>
        </w:rPr>
      </w:pPr>
      <w:r>
        <w:rPr>
          <w:rFonts w:hint="eastAsia" w:cs="仿宋"/>
          <w:b w:val="0"/>
          <w:bCs w:val="0"/>
          <w:u w:val="none"/>
          <w:lang w:val="zh-CN"/>
        </w:rPr>
        <w:t xml:space="preserve">                       </w:t>
      </w:r>
      <w:r>
        <w:rPr>
          <w:rFonts w:hint="eastAsia" w:cs="仿宋"/>
          <w:b w:val="0"/>
          <w:bCs w:val="0"/>
          <w:u w:val="none"/>
          <w:lang w:val="en-US" w:eastAsia="zh-CN"/>
        </w:rPr>
        <w:t xml:space="preserve">                       </w:t>
      </w:r>
      <w:r>
        <w:rPr>
          <w:rFonts w:hint="eastAsia" w:cs="仿宋"/>
          <w:b w:val="0"/>
          <w:bCs w:val="0"/>
          <w:u w:val="none"/>
          <w:lang w:val="zh-CN"/>
        </w:rPr>
        <w:t>物资采购管理中心</w:t>
      </w:r>
    </w:p>
    <w:p w14:paraId="63A1899E">
      <w:pPr>
        <w:spacing w:line="400" w:lineRule="exact"/>
        <w:ind w:left="0" w:leftChars="0" w:firstLine="560" w:firstLineChars="200"/>
        <w:rPr>
          <w:rFonts w:hint="default" w:cs="仿宋"/>
          <w:b w:val="0"/>
          <w:bCs w:val="0"/>
          <w:u w:val="none"/>
          <w:lang w:val="en-US" w:eastAsia="zh-CN"/>
        </w:rPr>
      </w:pPr>
    </w:p>
    <w:p w14:paraId="2A116E05">
      <w:pPr>
        <w:pStyle w:val="7"/>
        <w:rPr>
          <w:rFonts w:hint="default" w:cs="仿宋"/>
          <w:b w:val="0"/>
          <w:bCs w:val="0"/>
          <w:u w:val="none"/>
          <w:lang w:val="en-US" w:eastAsia="zh-CN"/>
        </w:rPr>
      </w:pPr>
    </w:p>
    <w:p w14:paraId="22C4B63C">
      <w:pPr>
        <w:pStyle w:val="7"/>
        <w:ind w:left="0" w:leftChars="0" w:firstLine="0" w:firstLineChars="0"/>
        <w:rPr>
          <w:rFonts w:hint="default" w:cs="仿宋"/>
          <w:b w:val="0"/>
          <w:bCs w:val="0"/>
          <w:u w:val="none"/>
          <w:lang w:val="en-US" w:eastAsia="zh-CN"/>
        </w:rPr>
      </w:pPr>
    </w:p>
    <w:p w14:paraId="294F8896">
      <w:pPr>
        <w:spacing w:line="400" w:lineRule="exact"/>
        <w:ind w:left="0" w:leftChars="0" w:firstLine="560" w:firstLineChars="200"/>
        <w:rPr>
          <w:rFonts w:hint="eastAsia" w:eastAsia="仿宋" w:cs="仿宋"/>
          <w:b w:val="0"/>
          <w:bCs w:val="0"/>
          <w:u w:val="none"/>
          <w:lang w:val="en-US" w:eastAsia="zh-CN"/>
        </w:rPr>
      </w:pPr>
      <w:r>
        <w:rPr>
          <w:rFonts w:hint="eastAsia" w:cs="仿宋"/>
          <w:b w:val="0"/>
          <w:bCs w:val="0"/>
          <w:u w:val="none"/>
          <w:lang w:val="en-US" w:eastAsia="zh-CN"/>
        </w:rPr>
        <w:t>附件8:自行检测方案</w:t>
      </w:r>
    </w:p>
    <w:p w14:paraId="5DDE9E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outlineLvl w:val="0"/>
        <w:rPr>
          <w:rFonts w:hint="eastAsia" w:ascii="仿宋" w:hAnsi="仿宋" w:eastAsia="仿宋" w:cs="仿宋"/>
          <w:b/>
          <w:bCs/>
          <w:sz w:val="28"/>
          <w:szCs w:val="28"/>
          <w:lang w:val="en-US" w:eastAsia="zh-CN"/>
        </w:rPr>
      </w:pPr>
    </w:p>
    <w:p w14:paraId="59BC1B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outlineLvl w:val="0"/>
        <w:rPr>
          <w:rFonts w:hint="eastAsia" w:ascii="仿宋" w:hAnsi="仿宋" w:eastAsia="仿宋" w:cs="仿宋"/>
          <w:b w:val="0"/>
          <w:bCs w:val="0"/>
          <w:spacing w:val="12"/>
          <w:sz w:val="72"/>
          <w:szCs w:val="72"/>
          <w:u w:val="none"/>
        </w:rPr>
      </w:pPr>
    </w:p>
    <w:p w14:paraId="3CF3A3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outlineLvl w:val="0"/>
        <w:rPr>
          <w:rFonts w:hint="eastAsia" w:ascii="仿宋" w:hAnsi="仿宋" w:eastAsia="仿宋" w:cs="仿宋"/>
          <w:b w:val="0"/>
          <w:bCs w:val="0"/>
          <w:spacing w:val="12"/>
          <w:sz w:val="72"/>
          <w:szCs w:val="72"/>
          <w:u w:val="none"/>
        </w:rPr>
      </w:pPr>
    </w:p>
    <w:p w14:paraId="586D10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outlineLvl w:val="0"/>
        <w:rPr>
          <w:rFonts w:hint="eastAsia" w:ascii="仿宋" w:hAnsi="仿宋" w:eastAsia="仿宋" w:cs="仿宋"/>
          <w:b w:val="0"/>
          <w:bCs w:val="0"/>
          <w:spacing w:val="12"/>
          <w:sz w:val="72"/>
          <w:szCs w:val="72"/>
          <w:u w:val="none"/>
        </w:rPr>
      </w:pPr>
    </w:p>
    <w:p w14:paraId="5C0102A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outlineLvl w:val="0"/>
        <w:rPr>
          <w:rFonts w:hint="eastAsia" w:ascii="仿宋" w:hAnsi="仿宋" w:eastAsia="仿宋" w:cs="仿宋"/>
          <w:b w:val="0"/>
          <w:bCs w:val="0"/>
          <w:spacing w:val="12"/>
          <w:sz w:val="72"/>
          <w:szCs w:val="72"/>
          <w:u w:val="none"/>
        </w:rPr>
      </w:pPr>
    </w:p>
    <w:p w14:paraId="5BAEE7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outlineLvl w:val="0"/>
        <w:rPr>
          <w:rFonts w:hint="eastAsia" w:ascii="仿宋" w:hAnsi="仿宋" w:eastAsia="仿宋" w:cs="仿宋"/>
          <w:b w:val="0"/>
          <w:bCs w:val="0"/>
          <w:spacing w:val="12"/>
          <w:sz w:val="72"/>
          <w:szCs w:val="72"/>
          <w:u w:val="none"/>
        </w:rPr>
      </w:pPr>
    </w:p>
    <w:p w14:paraId="52FB66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outlineLvl w:val="0"/>
        <w:rPr>
          <w:rFonts w:hint="eastAsia" w:ascii="仿宋" w:hAnsi="仿宋" w:eastAsia="仿宋" w:cs="仿宋"/>
          <w:b w:val="0"/>
          <w:bCs w:val="0"/>
          <w:sz w:val="72"/>
          <w:szCs w:val="72"/>
          <w:u w:val="none"/>
        </w:rPr>
      </w:pPr>
      <w:r>
        <w:rPr>
          <w:rFonts w:hint="eastAsia" w:ascii="仿宋" w:hAnsi="仿宋" w:eastAsia="仿宋" w:cs="仿宋"/>
          <w:b w:val="0"/>
          <w:bCs w:val="0"/>
          <w:spacing w:val="12"/>
          <w:sz w:val="72"/>
          <w:szCs w:val="72"/>
          <w:u w:val="none"/>
        </w:rPr>
        <w:t>南京市溧水区人民医院</w:t>
      </w:r>
      <w:r>
        <w:rPr>
          <w:rFonts w:hint="eastAsia" w:ascii="仿宋" w:hAnsi="仿宋" w:eastAsia="仿宋" w:cs="仿宋"/>
          <w:b w:val="0"/>
          <w:bCs w:val="0"/>
          <w:spacing w:val="4"/>
          <w:sz w:val="72"/>
          <w:szCs w:val="72"/>
          <w:u w:val="none"/>
        </w:rPr>
        <w:t>自行监测方案</w:t>
      </w:r>
    </w:p>
    <w:p w14:paraId="5F338169">
      <w:pPr>
        <w:pStyle w:val="7"/>
        <w:spacing w:line="246" w:lineRule="auto"/>
        <w:rPr>
          <w:rFonts w:hint="eastAsia" w:ascii="仿宋" w:hAnsi="仿宋" w:eastAsia="仿宋" w:cs="仿宋"/>
        </w:rPr>
      </w:pPr>
    </w:p>
    <w:p w14:paraId="4A173252">
      <w:pPr>
        <w:pStyle w:val="7"/>
        <w:spacing w:line="247" w:lineRule="auto"/>
        <w:ind w:left="0" w:leftChars="0" w:firstLine="0" w:firstLineChars="0"/>
        <w:rPr>
          <w:rFonts w:hint="eastAsia" w:ascii="仿宋" w:hAnsi="仿宋" w:eastAsia="仿宋" w:cs="仿宋"/>
        </w:rPr>
      </w:pPr>
    </w:p>
    <w:p w14:paraId="287380C9">
      <w:pPr>
        <w:pStyle w:val="7"/>
        <w:spacing w:line="247" w:lineRule="auto"/>
        <w:rPr>
          <w:rFonts w:hint="eastAsia" w:ascii="仿宋" w:hAnsi="仿宋" w:eastAsia="仿宋" w:cs="仿宋"/>
        </w:rPr>
      </w:pPr>
    </w:p>
    <w:p w14:paraId="4564B8D5">
      <w:pPr>
        <w:spacing w:before="104" w:line="219" w:lineRule="auto"/>
        <w:ind w:firstLine="4638" w:firstLineChars="1400"/>
        <w:jc w:val="both"/>
        <w:rPr>
          <w:rFonts w:hint="default" w:ascii="仿宋" w:hAnsi="仿宋" w:eastAsia="仿宋" w:cs="仿宋"/>
          <w:b/>
          <w:bCs/>
          <w:spacing w:val="5"/>
          <w:sz w:val="32"/>
          <w:szCs w:val="32"/>
          <w:u w:val="none"/>
          <w:lang w:val="en-US" w:eastAsia="zh-CN"/>
        </w:rPr>
      </w:pPr>
      <w:r>
        <w:rPr>
          <w:rFonts w:hint="eastAsia" w:ascii="仿宋" w:hAnsi="仿宋" w:eastAsia="仿宋" w:cs="仿宋"/>
          <w:b/>
          <w:bCs/>
          <w:spacing w:val="5"/>
          <w:sz w:val="32"/>
          <w:szCs w:val="32"/>
          <w:u w:val="none"/>
        </w:rPr>
        <w:t>编制：</w:t>
      </w:r>
      <w:r>
        <w:rPr>
          <w:rFonts w:hint="eastAsia" w:cs="仿宋"/>
          <w:b/>
          <w:bCs/>
          <w:spacing w:val="5"/>
          <w:sz w:val="32"/>
          <w:szCs w:val="32"/>
          <w:u w:val="none"/>
          <w:lang w:val="en-US" w:eastAsia="zh-CN"/>
        </w:rPr>
        <w:t xml:space="preserve">  </w:t>
      </w:r>
    </w:p>
    <w:p w14:paraId="3C38614E">
      <w:pPr>
        <w:spacing w:before="104" w:line="219" w:lineRule="auto"/>
        <w:jc w:val="center"/>
        <w:rPr>
          <w:rFonts w:hint="eastAsia" w:ascii="仿宋" w:hAnsi="仿宋" w:eastAsia="仿宋" w:cs="仿宋"/>
          <w:b/>
          <w:bCs/>
          <w:spacing w:val="5"/>
          <w:sz w:val="32"/>
          <w:szCs w:val="32"/>
          <w:u w:val="none"/>
          <w:lang w:eastAsia="zh-CN"/>
        </w:rPr>
      </w:pPr>
    </w:p>
    <w:p w14:paraId="71624535">
      <w:pPr>
        <w:spacing w:before="104" w:line="219" w:lineRule="auto"/>
        <w:ind w:firstLine="4679" w:firstLineChars="1700"/>
        <w:jc w:val="both"/>
        <w:rPr>
          <w:rFonts w:hint="eastAsia" w:ascii="仿宋" w:hAnsi="仿宋" w:eastAsia="仿宋" w:cs="仿宋"/>
          <w:b/>
          <w:bCs/>
          <w:spacing w:val="-23"/>
          <w:sz w:val="32"/>
          <w:szCs w:val="32"/>
          <w:u w:val="none"/>
        </w:rPr>
      </w:pPr>
      <w:r>
        <w:rPr>
          <w:rFonts w:hint="eastAsia" w:ascii="仿宋" w:hAnsi="仿宋" w:eastAsia="仿宋" w:cs="仿宋"/>
          <w:b/>
          <w:bCs/>
          <w:spacing w:val="-23"/>
          <w:sz w:val="32"/>
          <w:szCs w:val="32"/>
          <w:u w:val="none"/>
        </w:rPr>
        <w:t>审核：</w:t>
      </w:r>
    </w:p>
    <w:p w14:paraId="7C47BB7F">
      <w:pPr>
        <w:spacing w:before="104" w:line="219" w:lineRule="auto"/>
        <w:jc w:val="center"/>
        <w:rPr>
          <w:rFonts w:hint="eastAsia" w:ascii="仿宋" w:hAnsi="仿宋" w:eastAsia="仿宋" w:cs="仿宋"/>
          <w:b/>
          <w:bCs/>
          <w:spacing w:val="-23"/>
          <w:sz w:val="32"/>
          <w:szCs w:val="32"/>
          <w:u w:val="none"/>
        </w:rPr>
      </w:pPr>
    </w:p>
    <w:p w14:paraId="7D16C436">
      <w:pPr>
        <w:spacing w:before="105" w:line="220" w:lineRule="auto"/>
        <w:ind w:firstLine="4679" w:firstLineChars="1700"/>
        <w:jc w:val="both"/>
        <w:rPr>
          <w:rFonts w:hint="eastAsia" w:ascii="仿宋" w:hAnsi="仿宋" w:eastAsia="仿宋" w:cs="仿宋"/>
          <w:sz w:val="32"/>
          <w:szCs w:val="32"/>
          <w:u w:val="none"/>
        </w:rPr>
      </w:pPr>
      <w:r>
        <w:rPr>
          <w:rFonts w:hint="eastAsia" w:ascii="仿宋" w:hAnsi="仿宋" w:eastAsia="仿宋" w:cs="仿宋"/>
          <w:b/>
          <w:bCs/>
          <w:spacing w:val="-23"/>
          <w:sz w:val="32"/>
          <w:szCs w:val="32"/>
          <w:u w:val="none"/>
        </w:rPr>
        <w:t>批准：</w:t>
      </w:r>
    </w:p>
    <w:p w14:paraId="4A3BFE2E">
      <w:pPr>
        <w:pStyle w:val="7"/>
        <w:spacing w:line="253" w:lineRule="auto"/>
        <w:rPr>
          <w:rFonts w:hint="eastAsia" w:ascii="仿宋" w:hAnsi="仿宋" w:eastAsia="仿宋" w:cs="仿宋"/>
          <w:u w:val="none"/>
        </w:rPr>
      </w:pPr>
    </w:p>
    <w:p w14:paraId="0E789AC0">
      <w:pPr>
        <w:pStyle w:val="7"/>
        <w:spacing w:line="254" w:lineRule="auto"/>
        <w:ind w:left="0" w:leftChars="0" w:firstLine="0" w:firstLineChars="0"/>
        <w:rPr>
          <w:rFonts w:hint="eastAsia" w:ascii="仿宋" w:hAnsi="仿宋" w:eastAsia="仿宋" w:cs="仿宋"/>
        </w:rPr>
      </w:pPr>
    </w:p>
    <w:p w14:paraId="7CDEE0DD">
      <w:pPr>
        <w:spacing w:before="114" w:line="228" w:lineRule="auto"/>
        <w:ind w:left="1739"/>
        <w:rPr>
          <w:rFonts w:hint="eastAsia" w:ascii="仿宋" w:hAnsi="仿宋" w:eastAsia="仿宋" w:cs="仿宋"/>
          <w:sz w:val="35"/>
          <w:szCs w:val="35"/>
          <w:u w:val="none" w:color="auto"/>
        </w:rPr>
      </w:pPr>
      <w:r>
        <w:rPr>
          <w:rFonts w:hint="eastAsia" w:ascii="仿宋" w:hAnsi="仿宋" w:eastAsia="仿宋" w:cs="仿宋"/>
          <w:b/>
          <w:bCs/>
          <w:spacing w:val="-18"/>
          <w:position w:val="3"/>
          <w:sz w:val="32"/>
          <w:szCs w:val="32"/>
          <w:u w:val="none" w:color="auto"/>
        </w:rPr>
        <w:t>企业名称：</w:t>
      </w:r>
      <w:r>
        <w:rPr>
          <w:rFonts w:hint="eastAsia" w:ascii="仿宋" w:hAnsi="仿宋" w:eastAsia="仿宋" w:cs="仿宋"/>
          <w:spacing w:val="-18"/>
          <w:position w:val="-1"/>
          <w:sz w:val="35"/>
          <w:szCs w:val="35"/>
          <w:u w:val="none" w:color="auto"/>
        </w:rPr>
        <w:t xml:space="preserve"> </w:t>
      </w:r>
      <w:r>
        <w:rPr>
          <w:rFonts w:hint="eastAsia" w:ascii="仿宋" w:hAnsi="仿宋" w:eastAsia="仿宋" w:cs="仿宋"/>
          <w:b/>
          <w:bCs/>
          <w:spacing w:val="-18"/>
          <w:position w:val="-1"/>
          <w:sz w:val="35"/>
          <w:szCs w:val="35"/>
          <w:u w:val="none" w:color="auto"/>
        </w:rPr>
        <w:t>南京市溧水区人民医院</w:t>
      </w:r>
    </w:p>
    <w:p w14:paraId="3655CBD9">
      <w:pPr>
        <w:spacing w:before="343" w:line="228" w:lineRule="auto"/>
        <w:ind w:firstLine="2633" w:firstLineChars="1000"/>
        <w:rPr>
          <w:rFonts w:hint="eastAsia" w:ascii="仿宋" w:hAnsi="仿宋" w:eastAsia="仿宋" w:cs="仿宋"/>
          <w:sz w:val="32"/>
          <w:szCs w:val="32"/>
          <w:u w:val="none" w:color="auto"/>
        </w:rPr>
      </w:pPr>
      <w:r>
        <w:rPr>
          <w:rFonts w:hint="eastAsia" w:ascii="仿宋" w:hAnsi="仿宋" w:eastAsia="仿宋" w:cs="仿宋"/>
          <w:b/>
          <w:bCs/>
          <w:spacing w:val="-29"/>
          <w:position w:val="2"/>
          <w:sz w:val="32"/>
          <w:szCs w:val="32"/>
          <w:u w:val="none" w:color="auto"/>
        </w:rPr>
        <w:t>编制时间：</w:t>
      </w:r>
      <w:r>
        <w:rPr>
          <w:rFonts w:hint="eastAsia" w:ascii="仿宋" w:hAnsi="仿宋" w:eastAsia="仿宋" w:cs="仿宋"/>
          <w:spacing w:val="155"/>
          <w:position w:val="-1"/>
          <w:sz w:val="32"/>
          <w:szCs w:val="32"/>
          <w:u w:val="none" w:color="auto"/>
        </w:rPr>
        <w:t xml:space="preserve"> </w:t>
      </w:r>
      <w:r>
        <w:rPr>
          <w:rFonts w:hint="eastAsia" w:ascii="仿宋" w:hAnsi="仿宋" w:eastAsia="仿宋" w:cs="仿宋"/>
          <w:b/>
          <w:bCs/>
          <w:spacing w:val="-18"/>
          <w:position w:val="-1"/>
          <w:sz w:val="35"/>
          <w:szCs w:val="35"/>
          <w:u w:val="none" w:color="auto"/>
          <w:lang w:val="en-US" w:eastAsia="zh-CN"/>
        </w:rPr>
        <w:t>2024年</w:t>
      </w:r>
      <w:r>
        <w:rPr>
          <w:rFonts w:hint="eastAsia" w:cs="仿宋"/>
          <w:b/>
          <w:bCs/>
          <w:spacing w:val="-18"/>
          <w:position w:val="-1"/>
          <w:sz w:val="35"/>
          <w:szCs w:val="35"/>
          <w:u w:val="none" w:color="auto"/>
          <w:lang w:val="en-US" w:eastAsia="zh-CN"/>
        </w:rPr>
        <w:t xml:space="preserve">  </w:t>
      </w:r>
      <w:r>
        <w:rPr>
          <w:rFonts w:hint="eastAsia" w:ascii="仿宋" w:hAnsi="仿宋" w:eastAsia="仿宋" w:cs="仿宋"/>
          <w:b/>
          <w:bCs/>
          <w:spacing w:val="-18"/>
          <w:position w:val="-1"/>
          <w:sz w:val="35"/>
          <w:szCs w:val="35"/>
          <w:u w:val="none" w:color="auto"/>
        </w:rPr>
        <w:t>月</w:t>
      </w:r>
      <w:r>
        <w:rPr>
          <w:rFonts w:hint="eastAsia" w:ascii="仿宋" w:hAnsi="仿宋" w:eastAsia="仿宋" w:cs="仿宋"/>
          <w:spacing w:val="155"/>
          <w:position w:val="-1"/>
          <w:sz w:val="32"/>
          <w:szCs w:val="32"/>
          <w:u w:val="none" w:color="auto"/>
        </w:rPr>
        <w:t xml:space="preserve"> </w:t>
      </w:r>
    </w:p>
    <w:p w14:paraId="7D50B964">
      <w:pPr>
        <w:ind w:left="0" w:leftChars="0" w:firstLine="0" w:firstLineChars="0"/>
        <w:rPr>
          <w:rFonts w:hint="eastAsia" w:ascii="仿宋" w:hAnsi="仿宋" w:eastAsia="仿宋" w:cs="仿宋"/>
          <w:b w:val="0"/>
          <w:bCs w:val="0"/>
          <w:spacing w:val="14"/>
          <w:sz w:val="31"/>
          <w:szCs w:val="31"/>
          <w:u w:val="none"/>
          <w:lang w:val="en-US" w:eastAsia="zh-CN"/>
          <w14:textOutline w14:w="5791" w14:cap="sq" w14:cmpd="sng" w14:algn="ctr">
            <w14:solidFill>
              <w14:srgbClr w14:val="000000"/>
            </w14:solidFill>
            <w14:prstDash w14:val="solid"/>
            <w14:bevel/>
          </w14:textOutline>
        </w:rPr>
      </w:pPr>
      <w:r>
        <w:rPr>
          <w:rFonts w:hint="eastAsia" w:ascii="仿宋" w:hAnsi="仿宋" w:eastAsia="仿宋" w:cs="仿宋"/>
          <w:b w:val="0"/>
          <w:bCs w:val="0"/>
          <w:spacing w:val="14"/>
          <w:sz w:val="31"/>
          <w:szCs w:val="31"/>
          <w:u w:val="none"/>
          <w:lang w:val="en-US" w:eastAsia="zh-CN"/>
          <w14:textOutline w14:w="5791" w14:cap="sq" w14:cmpd="sng" w14:algn="ctr">
            <w14:solidFill>
              <w14:srgbClr w14:val="000000"/>
            </w14:solidFill>
            <w14:prstDash w14:val="solid"/>
            <w14:bevel/>
          </w14:textOutline>
        </w:rPr>
        <w:t>一、企业概况</w:t>
      </w:r>
    </w:p>
    <w:p w14:paraId="47769B2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z w:val="28"/>
          <w:szCs w:val="28"/>
          <w:u w:val="none"/>
        </w:rPr>
      </w:pPr>
      <w:r>
        <w:rPr>
          <w:rFonts w:hint="eastAsia" w:ascii="仿宋" w:hAnsi="仿宋" w:eastAsia="仿宋" w:cs="仿宋"/>
          <w:b w:val="0"/>
          <w:bCs w:val="0"/>
          <w:spacing w:val="10"/>
          <w:sz w:val="28"/>
          <w:szCs w:val="28"/>
          <w:u w:val="none"/>
        </w:rPr>
        <w:t>(一)基本情况</w:t>
      </w:r>
    </w:p>
    <w:p w14:paraId="2D89DE2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仿宋" w:hAnsi="仿宋" w:eastAsia="仿宋" w:cs="仿宋"/>
          <w:b w:val="0"/>
          <w:bCs w:val="0"/>
          <w:sz w:val="24"/>
          <w:szCs w:val="24"/>
          <w:u w:val="none"/>
          <w:lang w:eastAsia="zh-CN"/>
        </w:rPr>
      </w:pPr>
      <w:r>
        <w:rPr>
          <w:rFonts w:hint="eastAsia" w:ascii="仿宋" w:hAnsi="仿宋" w:eastAsia="仿宋" w:cs="仿宋"/>
          <w:b w:val="0"/>
          <w:bCs w:val="0"/>
          <w:spacing w:val="-3"/>
          <w:sz w:val="24"/>
          <w:szCs w:val="24"/>
          <w:u w:val="none"/>
        </w:rPr>
        <w:t>南京市溧水区人民医院位于南京市溧水区永阳镇崇文路86号。医院现开放床位1000张，医院总职工人数1430,卫技人员1266人。</w:t>
      </w:r>
      <w:r>
        <w:rPr>
          <w:rFonts w:hint="eastAsia" w:ascii="仿宋" w:hAnsi="仿宋" w:eastAsia="仿宋" w:cs="仿宋"/>
          <w:b w:val="0"/>
          <w:bCs w:val="0"/>
          <w:spacing w:val="3"/>
          <w:sz w:val="24"/>
          <w:szCs w:val="24"/>
          <w:u w:val="none"/>
        </w:rPr>
        <w:t>根据《排污单位自行监测技术指南总则》(</w:t>
      </w:r>
      <w:r>
        <w:rPr>
          <w:rFonts w:hint="eastAsia" w:ascii="仿宋" w:hAnsi="仿宋" w:eastAsia="仿宋" w:cs="仿宋"/>
          <w:b w:val="0"/>
          <w:bCs w:val="0"/>
          <w:sz w:val="24"/>
          <w:szCs w:val="24"/>
          <w:u w:val="none"/>
        </w:rPr>
        <w:t>HJ</w:t>
      </w:r>
      <w:r>
        <w:rPr>
          <w:rFonts w:hint="eastAsia" w:ascii="仿宋" w:hAnsi="仿宋" w:eastAsia="仿宋" w:cs="仿宋"/>
          <w:b w:val="0"/>
          <w:bCs w:val="0"/>
          <w:spacing w:val="3"/>
          <w:sz w:val="24"/>
          <w:szCs w:val="24"/>
          <w:u w:val="none"/>
        </w:rPr>
        <w:t>819-2017)、</w:t>
      </w:r>
      <w:r>
        <w:rPr>
          <w:rFonts w:hint="eastAsia" w:ascii="仿宋" w:hAnsi="仿宋" w:eastAsia="仿宋" w:cs="仿宋"/>
          <w:b w:val="0"/>
          <w:bCs w:val="0"/>
          <w:spacing w:val="3"/>
          <w:sz w:val="24"/>
          <w:szCs w:val="24"/>
          <w:highlight w:val="none"/>
          <w:u w:val="none"/>
        </w:rPr>
        <w:t>《排污许</w:t>
      </w:r>
      <w:r>
        <w:rPr>
          <w:rFonts w:hint="eastAsia" w:ascii="仿宋" w:hAnsi="仿宋" w:eastAsia="仿宋" w:cs="仿宋"/>
          <w:b w:val="0"/>
          <w:bCs w:val="0"/>
          <w:spacing w:val="1"/>
          <w:sz w:val="24"/>
          <w:szCs w:val="24"/>
          <w:highlight w:val="none"/>
          <w:u w:val="none"/>
        </w:rPr>
        <w:t>可证申请与核发技术规范医疗机构》(</w:t>
      </w:r>
      <w:r>
        <w:rPr>
          <w:rFonts w:hint="eastAsia" w:ascii="仿宋" w:hAnsi="仿宋" w:eastAsia="仿宋" w:cs="仿宋"/>
          <w:b w:val="0"/>
          <w:bCs w:val="0"/>
          <w:sz w:val="24"/>
          <w:szCs w:val="24"/>
          <w:highlight w:val="none"/>
          <w:u w:val="none"/>
        </w:rPr>
        <w:t>HJ</w:t>
      </w:r>
      <w:r>
        <w:rPr>
          <w:rFonts w:hint="eastAsia" w:ascii="仿宋" w:hAnsi="仿宋" w:eastAsia="仿宋" w:cs="仿宋"/>
          <w:b w:val="0"/>
          <w:bCs w:val="0"/>
          <w:spacing w:val="1"/>
          <w:sz w:val="24"/>
          <w:szCs w:val="24"/>
          <w:highlight w:val="none"/>
          <w:u w:val="none"/>
        </w:rPr>
        <w:t>1105-2020)、</w:t>
      </w:r>
      <w:r>
        <w:rPr>
          <w:rFonts w:hint="eastAsia" w:ascii="仿宋" w:hAnsi="仿宋" w:eastAsia="仿宋" w:cs="仿宋"/>
          <w:b w:val="0"/>
          <w:bCs w:val="0"/>
          <w:sz w:val="24"/>
          <w:szCs w:val="24"/>
          <w:u w:val="none"/>
        </w:rPr>
        <w:t>《排污单位自行监测技</w:t>
      </w:r>
      <w:r>
        <w:rPr>
          <w:rFonts w:hint="eastAsia" w:ascii="仿宋" w:hAnsi="仿宋" w:eastAsia="仿宋" w:cs="仿宋"/>
          <w:b w:val="0"/>
          <w:bCs w:val="0"/>
          <w:spacing w:val="5"/>
          <w:sz w:val="24"/>
          <w:szCs w:val="24"/>
          <w:u w:val="none"/>
        </w:rPr>
        <w:t>术指南火力发电及锅炉》(</w:t>
      </w:r>
      <w:r>
        <w:rPr>
          <w:rFonts w:hint="eastAsia" w:ascii="仿宋" w:hAnsi="仿宋" w:eastAsia="仿宋" w:cs="仿宋"/>
          <w:b w:val="0"/>
          <w:bCs w:val="0"/>
          <w:sz w:val="24"/>
          <w:szCs w:val="24"/>
          <w:u w:val="none"/>
        </w:rPr>
        <w:t>HJ</w:t>
      </w:r>
      <w:r>
        <w:rPr>
          <w:rFonts w:hint="eastAsia" w:ascii="仿宋" w:hAnsi="仿宋" w:eastAsia="仿宋" w:cs="仿宋"/>
          <w:b w:val="0"/>
          <w:bCs w:val="0"/>
          <w:spacing w:val="5"/>
          <w:sz w:val="24"/>
          <w:szCs w:val="24"/>
          <w:u w:val="none"/>
        </w:rPr>
        <w:t>820-2017)要求，</w:t>
      </w:r>
      <w:r>
        <w:rPr>
          <w:rFonts w:hint="eastAsia" w:ascii="仿宋" w:hAnsi="仿宋" w:eastAsia="仿宋" w:cs="仿宋"/>
          <w:b w:val="0"/>
          <w:bCs w:val="0"/>
          <w:spacing w:val="5"/>
          <w:sz w:val="24"/>
          <w:szCs w:val="24"/>
          <w:u w:val="none"/>
          <w:lang w:val="en-US" w:eastAsia="zh-CN"/>
        </w:rPr>
        <w:t>我院</w:t>
      </w:r>
      <w:r>
        <w:rPr>
          <w:rFonts w:hint="eastAsia" w:ascii="仿宋" w:hAnsi="仿宋" w:eastAsia="仿宋" w:cs="仿宋"/>
          <w:b w:val="0"/>
          <w:bCs w:val="0"/>
          <w:spacing w:val="5"/>
          <w:sz w:val="24"/>
          <w:szCs w:val="24"/>
          <w:u w:val="none"/>
        </w:rPr>
        <w:t>根据实际生产</w:t>
      </w:r>
      <w:r>
        <w:rPr>
          <w:rFonts w:hint="eastAsia" w:ascii="仿宋" w:hAnsi="仿宋" w:eastAsia="仿宋" w:cs="仿宋"/>
          <w:b w:val="0"/>
          <w:bCs w:val="0"/>
          <w:spacing w:val="-3"/>
          <w:sz w:val="24"/>
          <w:szCs w:val="24"/>
          <w:u w:val="none"/>
        </w:rPr>
        <w:t>情况，查清本单位的污染源、污染物指标及潜在的环境影响，制定了</w:t>
      </w:r>
      <w:r>
        <w:rPr>
          <w:rFonts w:hint="eastAsia" w:ascii="仿宋" w:hAnsi="仿宋" w:eastAsia="仿宋" w:cs="仿宋"/>
          <w:b w:val="0"/>
          <w:bCs w:val="0"/>
          <w:spacing w:val="-5"/>
          <w:sz w:val="24"/>
          <w:szCs w:val="24"/>
          <w:u w:val="none"/>
        </w:rPr>
        <w:t>本</w:t>
      </w:r>
      <w:r>
        <w:rPr>
          <w:rFonts w:hint="eastAsia" w:ascii="仿宋" w:hAnsi="仿宋" w:eastAsia="仿宋" w:cs="仿宋"/>
          <w:b w:val="0"/>
          <w:bCs w:val="0"/>
          <w:spacing w:val="-5"/>
          <w:sz w:val="24"/>
          <w:szCs w:val="24"/>
          <w:u w:val="none"/>
          <w:lang w:val="en-US" w:eastAsia="zh-CN"/>
        </w:rPr>
        <w:t>单位</w:t>
      </w:r>
      <w:r>
        <w:rPr>
          <w:rFonts w:hint="eastAsia" w:ascii="仿宋" w:hAnsi="仿宋" w:eastAsia="仿宋" w:cs="仿宋"/>
          <w:b w:val="0"/>
          <w:bCs w:val="0"/>
          <w:spacing w:val="-5"/>
          <w:sz w:val="24"/>
          <w:szCs w:val="24"/>
          <w:u w:val="none"/>
        </w:rPr>
        <w:t>环境自行监测方案</w:t>
      </w:r>
      <w:r>
        <w:rPr>
          <w:rFonts w:hint="eastAsia" w:ascii="仿宋" w:hAnsi="仿宋" w:eastAsia="仿宋" w:cs="仿宋"/>
          <w:b w:val="0"/>
          <w:bCs w:val="0"/>
          <w:spacing w:val="-5"/>
          <w:sz w:val="24"/>
          <w:szCs w:val="24"/>
          <w:u w:val="none"/>
          <w:lang w:eastAsia="zh-CN"/>
        </w:rPr>
        <w:t>。</w:t>
      </w:r>
    </w:p>
    <w:p w14:paraId="472109D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10"/>
          <w:sz w:val="27"/>
          <w:szCs w:val="27"/>
          <w:u w:val="none"/>
          <w:lang w:val="en-US" w:eastAsia="zh-CN"/>
        </w:rPr>
      </w:pPr>
      <w:r>
        <w:rPr>
          <w:rFonts w:hint="eastAsia" w:ascii="仿宋" w:hAnsi="仿宋" w:eastAsia="仿宋" w:cs="仿宋"/>
          <w:b w:val="0"/>
          <w:bCs w:val="0"/>
          <w:snapToGrid w:val="0"/>
          <w:color w:val="000000"/>
          <w:spacing w:val="10"/>
          <w:kern w:val="0"/>
          <w:sz w:val="27"/>
          <w:szCs w:val="27"/>
          <w:u w:val="none"/>
          <w:lang w:val="en-US" w:eastAsia="zh-CN" w:bidi="ar-SA"/>
        </w:rPr>
        <w:t>（二）</w:t>
      </w:r>
      <w:r>
        <w:rPr>
          <w:rFonts w:hint="eastAsia" w:ascii="仿宋" w:hAnsi="仿宋" w:eastAsia="仿宋" w:cs="仿宋"/>
          <w:b w:val="0"/>
          <w:bCs w:val="0"/>
          <w:spacing w:val="10"/>
          <w:sz w:val="27"/>
          <w:szCs w:val="27"/>
          <w:u w:val="none"/>
          <w:lang w:val="en-US" w:eastAsia="zh-CN"/>
        </w:rPr>
        <w:t>环保手续</w:t>
      </w:r>
    </w:p>
    <w:p w14:paraId="4B534101">
      <w:pPr>
        <w:pStyle w:val="23"/>
        <w:keepNext w:val="0"/>
        <w:keepLines w:val="0"/>
        <w:pageBreakBefore w:val="0"/>
        <w:widowControl/>
        <w:kinsoku w:val="0"/>
        <w:wordWrap/>
        <w:overflowPunct/>
        <w:topLinePunct w:val="0"/>
        <w:autoSpaceDE w:val="0"/>
        <w:autoSpaceDN w:val="0"/>
        <w:bidi w:val="0"/>
        <w:adjustRightInd w:val="0"/>
        <w:snapToGrid w:val="0"/>
        <w:spacing w:line="360" w:lineRule="auto"/>
        <w:ind w:firstLine="500" w:firstLineChars="200"/>
        <w:textAlignment w:val="baseline"/>
        <w:rPr>
          <w:rFonts w:hint="eastAsia" w:ascii="仿宋" w:hAnsi="仿宋" w:eastAsia="仿宋" w:cs="仿宋"/>
          <w:b w:val="0"/>
          <w:bCs w:val="0"/>
          <w:snapToGrid w:val="0"/>
          <w:color w:val="000000"/>
          <w:spacing w:val="5"/>
          <w:kern w:val="0"/>
          <w:sz w:val="28"/>
          <w:szCs w:val="28"/>
          <w:u w:val="none"/>
          <w:lang w:val="en-US" w:eastAsia="zh-CN" w:bidi="ar-SA"/>
        </w:rPr>
      </w:pPr>
      <w:r>
        <w:rPr>
          <w:rFonts w:hint="eastAsia" w:ascii="仿宋" w:hAnsi="仿宋" w:eastAsia="仿宋" w:cs="仿宋"/>
          <w:b w:val="0"/>
          <w:bCs w:val="0"/>
          <w:snapToGrid w:val="0"/>
          <w:color w:val="000000"/>
          <w:spacing w:val="5"/>
          <w:kern w:val="0"/>
          <w:sz w:val="24"/>
          <w:szCs w:val="24"/>
          <w:u w:val="none"/>
          <w:lang w:val="en-US" w:eastAsia="zh-CN" w:bidi="ar-SA"/>
        </w:rPr>
        <w:t>2019年10月完成《新增200张床位建设项目环境影响报告表》，在2019年10月取得《南京市溧水区人民医院新增200张床位项目环境影响报告表》的批复（宁环表复[2019]1774号），环评中污水处理站废气治理措施为生物除臭，排气筒高度为80米，实际建设情况与环评一致；环评中有2个锅炉废气排口，实际建设有3个锅炉废气排口，在2022年11月，新增1个锅炉废气排口。</w:t>
      </w:r>
    </w:p>
    <w:p w14:paraId="6709A4D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10"/>
          <w:sz w:val="27"/>
          <w:szCs w:val="27"/>
          <w:u w:val="none"/>
          <w:lang w:val="en-US" w:eastAsia="zh-CN"/>
        </w:rPr>
      </w:pPr>
      <w:r>
        <w:rPr>
          <w:rFonts w:hint="eastAsia" w:ascii="仿宋" w:hAnsi="仿宋" w:eastAsia="仿宋" w:cs="仿宋"/>
          <w:b w:val="0"/>
          <w:bCs w:val="0"/>
          <w:spacing w:val="10"/>
          <w:sz w:val="27"/>
          <w:szCs w:val="27"/>
          <w:u w:val="none"/>
          <w:lang w:val="en-US" w:eastAsia="zh-CN"/>
        </w:rPr>
        <w:t>（三）排污情况</w:t>
      </w:r>
    </w:p>
    <w:p w14:paraId="0833DEE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textAlignment w:val="baseline"/>
        <w:rPr>
          <w:rFonts w:hint="eastAsia" w:ascii="仿宋" w:hAnsi="仿宋" w:eastAsia="仿宋" w:cs="仿宋"/>
          <w:b w:val="0"/>
          <w:bCs w:val="0"/>
          <w:snapToGrid w:val="0"/>
          <w:color w:val="000000"/>
          <w:kern w:val="0"/>
          <w:sz w:val="24"/>
          <w:szCs w:val="24"/>
          <w:u w:val="none"/>
          <w:lang w:val="en-US" w:eastAsia="zh-CN" w:bidi="ar-SA"/>
        </w:rPr>
      </w:pPr>
      <w:r>
        <w:rPr>
          <w:rFonts w:hint="eastAsia" w:ascii="仿宋" w:hAnsi="仿宋" w:eastAsia="仿宋" w:cs="仿宋"/>
          <w:b w:val="0"/>
          <w:bCs w:val="0"/>
          <w:snapToGrid w:val="0"/>
          <w:color w:val="000000"/>
          <w:kern w:val="0"/>
          <w:sz w:val="24"/>
          <w:szCs w:val="24"/>
          <w:u w:val="none"/>
          <w:lang w:val="en-US" w:eastAsia="zh-CN" w:bidi="ar-SA"/>
        </w:rPr>
        <w:t>1.污水处理工艺流程简述</w:t>
      </w:r>
    </w:p>
    <w:p w14:paraId="47F30180">
      <w:pPr>
        <w:pStyle w:val="2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500" w:firstLineChars="200"/>
        <w:textAlignment w:val="baseline"/>
        <w:rPr>
          <w:rFonts w:hint="eastAsia" w:ascii="仿宋" w:hAnsi="仿宋" w:eastAsia="仿宋" w:cs="仿宋"/>
          <w:b w:val="0"/>
          <w:bCs w:val="0"/>
          <w:snapToGrid w:val="0"/>
          <w:color w:val="000000"/>
          <w:spacing w:val="5"/>
          <w:kern w:val="0"/>
          <w:sz w:val="24"/>
          <w:szCs w:val="24"/>
          <w:u w:val="none"/>
          <w:lang w:val="en-US" w:eastAsia="zh-CN" w:bidi="ar-SA"/>
        </w:rPr>
      </w:pPr>
      <w:r>
        <w:rPr>
          <w:rFonts w:hint="eastAsia" w:ascii="仿宋" w:hAnsi="仿宋" w:eastAsia="仿宋" w:cs="仿宋"/>
          <w:b w:val="0"/>
          <w:bCs w:val="0"/>
          <w:snapToGrid w:val="0"/>
          <w:color w:val="000000"/>
          <w:spacing w:val="5"/>
          <w:kern w:val="0"/>
          <w:sz w:val="24"/>
          <w:szCs w:val="24"/>
          <w:u w:val="none"/>
          <w:lang w:val="en-US" w:eastAsia="zh-CN" w:bidi="ar-SA"/>
        </w:rPr>
        <w:t>污水处理站处理工艺为：“格栅+调节池+缺氧池+接触氧化池+沉淀池+二氧化氯消毒池”，日处理能力为1000吨，经预处理后经市政管网排入南京溧水秦源污水处理有限公司。</w:t>
      </w:r>
    </w:p>
    <w:p w14:paraId="519083D1">
      <w:pPr>
        <w:pStyle w:val="2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5"/>
          <w:kern w:val="0"/>
          <w:sz w:val="28"/>
          <w:szCs w:val="28"/>
          <w:u w:val="none"/>
          <w:lang w:val="en-US" w:eastAsia="zh-CN" w:bidi="ar-SA"/>
        </w:rPr>
      </w:pPr>
      <w:r>
        <w:rPr>
          <w:rFonts w:hint="eastAsia" w:ascii="仿宋" w:hAnsi="仿宋" w:eastAsia="仿宋" w:cs="仿宋"/>
          <w:b w:val="0"/>
          <w:bCs w:val="0"/>
          <w:snapToGrid w:val="0"/>
          <w:color w:val="000000"/>
          <w:spacing w:val="5"/>
          <w:kern w:val="0"/>
          <w:sz w:val="28"/>
          <w:szCs w:val="28"/>
          <w:u w:val="none"/>
          <w:lang w:val="en-US" w:eastAsia="zh-CN" w:bidi="ar-SA"/>
        </w:rPr>
        <w:drawing>
          <wp:inline distT="0" distB="0" distL="114300" distR="114300">
            <wp:extent cx="5405120" cy="2590800"/>
            <wp:effectExtent l="0" t="0" r="5080" b="0"/>
            <wp:docPr id="2" name="图片 2" descr="废水处理工艺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废水处理工艺流程图"/>
                    <pic:cNvPicPr>
                      <a:picLocks noChangeAspect="1"/>
                    </pic:cNvPicPr>
                  </pic:nvPicPr>
                  <pic:blipFill>
                    <a:blip r:embed="rId9"/>
                    <a:stretch>
                      <a:fillRect/>
                    </a:stretch>
                  </pic:blipFill>
                  <pic:spPr>
                    <a:xfrm>
                      <a:off x="0" y="0"/>
                      <a:ext cx="5405120" cy="2590800"/>
                    </a:xfrm>
                    <a:prstGeom prst="rect">
                      <a:avLst/>
                    </a:prstGeom>
                  </pic:spPr>
                </pic:pic>
              </a:graphicData>
            </a:graphic>
          </wp:inline>
        </w:drawing>
      </w:r>
    </w:p>
    <w:p w14:paraId="4B8C4889">
      <w:pPr>
        <w:rPr>
          <w:rFonts w:hint="eastAsia" w:ascii="仿宋" w:hAnsi="仿宋" w:eastAsia="仿宋" w:cs="仿宋"/>
          <w:b w:val="0"/>
          <w:bCs w:val="0"/>
          <w:snapToGrid w:val="0"/>
          <w:color w:val="000000"/>
          <w:kern w:val="0"/>
          <w:sz w:val="28"/>
          <w:szCs w:val="28"/>
          <w:u w:val="none"/>
          <w:lang w:val="en-US" w:eastAsia="en-US" w:bidi="ar-SA"/>
        </w:rPr>
      </w:pPr>
      <w:r>
        <w:rPr>
          <w:rFonts w:hint="eastAsia" w:ascii="仿宋" w:hAnsi="仿宋" w:eastAsia="仿宋" w:cs="仿宋"/>
          <w:b w:val="0"/>
          <w:bCs w:val="0"/>
          <w:snapToGrid w:val="0"/>
          <w:color w:val="000000"/>
          <w:kern w:val="0"/>
          <w:sz w:val="28"/>
          <w:szCs w:val="28"/>
          <w:u w:val="none"/>
          <w:lang w:val="en-US" w:eastAsia="en-US" w:bidi="ar-SA"/>
        </w:rPr>
        <w:br w:type="page"/>
      </w:r>
    </w:p>
    <w:p w14:paraId="3D63E46A">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b w:val="0"/>
          <w:bCs w:val="0"/>
          <w:snapToGrid w:val="0"/>
          <w:color w:val="000000"/>
          <w:kern w:val="0"/>
          <w:sz w:val="24"/>
          <w:szCs w:val="24"/>
          <w:u w:val="none"/>
          <w:lang w:val="en-US" w:eastAsia="en-US" w:bidi="ar-SA"/>
        </w:rPr>
      </w:pPr>
      <w:r>
        <w:rPr>
          <w:rFonts w:hint="eastAsia" w:ascii="仿宋" w:hAnsi="仿宋" w:eastAsia="仿宋" w:cs="仿宋"/>
          <w:b w:val="0"/>
          <w:bCs w:val="0"/>
          <w:snapToGrid w:val="0"/>
          <w:color w:val="000000"/>
          <w:kern w:val="0"/>
          <w:sz w:val="24"/>
          <w:szCs w:val="24"/>
          <w:u w:val="none"/>
          <w:lang w:val="en-US" w:eastAsia="en-US" w:bidi="ar-SA"/>
        </w:rPr>
        <w:t>2.</w:t>
      </w:r>
      <w:r>
        <w:rPr>
          <w:rFonts w:hint="eastAsia" w:ascii="仿宋" w:hAnsi="仿宋" w:eastAsia="仿宋" w:cs="仿宋"/>
          <w:b w:val="0"/>
          <w:bCs w:val="0"/>
          <w:snapToGrid w:val="0"/>
          <w:color w:val="000000"/>
          <w:kern w:val="0"/>
          <w:sz w:val="24"/>
          <w:szCs w:val="24"/>
          <w:u w:val="none"/>
          <w:lang w:val="en-US" w:eastAsia="zh-CN" w:bidi="ar-SA"/>
        </w:rPr>
        <w:t>污染物排放及污染治理设施情况</w:t>
      </w:r>
    </w:p>
    <w:p w14:paraId="19BCB995">
      <w:pPr>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b w:val="0"/>
          <w:bCs w:val="0"/>
          <w:snapToGrid w:val="0"/>
          <w:color w:val="000000"/>
          <w:spacing w:val="-3"/>
          <w:kern w:val="0"/>
          <w:sz w:val="24"/>
          <w:szCs w:val="24"/>
          <w:u w:val="none"/>
          <w:lang w:val="en-US" w:eastAsia="zh-CN" w:bidi="ar-SA"/>
        </w:rPr>
      </w:pPr>
      <w:r>
        <w:rPr>
          <w:rFonts w:hint="eastAsia" w:ascii="仿宋" w:hAnsi="仿宋" w:eastAsia="仿宋" w:cs="仿宋"/>
          <w:b w:val="0"/>
          <w:bCs w:val="0"/>
          <w:snapToGrid w:val="0"/>
          <w:color w:val="000000"/>
          <w:spacing w:val="5"/>
          <w:kern w:val="0"/>
          <w:sz w:val="24"/>
          <w:szCs w:val="24"/>
          <w:u w:val="none"/>
          <w:lang w:val="en-US" w:eastAsia="en-US" w:bidi="ar-SA"/>
        </w:rPr>
        <w:t>废水方面：全厂共设有1个污水排放口，为主要排放口。</w:t>
      </w:r>
      <w:r>
        <w:rPr>
          <w:rFonts w:hint="eastAsia" w:ascii="仿宋" w:hAnsi="仿宋" w:eastAsia="仿宋" w:cs="仿宋"/>
          <w:b w:val="0"/>
          <w:bCs w:val="0"/>
          <w:spacing w:val="-4"/>
          <w:sz w:val="24"/>
          <w:szCs w:val="24"/>
          <w:u w:val="none"/>
        </w:rPr>
        <w:t>本项目废水主要是医疗废水。普通医疗废水及医务员工生活污水</w:t>
      </w:r>
      <w:r>
        <w:rPr>
          <w:rFonts w:hint="eastAsia" w:ascii="仿宋" w:hAnsi="仿宋" w:eastAsia="仿宋" w:cs="仿宋"/>
          <w:b w:val="0"/>
          <w:bCs w:val="0"/>
          <w:spacing w:val="13"/>
          <w:sz w:val="24"/>
          <w:szCs w:val="24"/>
          <w:u w:val="none"/>
        </w:rPr>
        <w:t xml:space="preserve"> </w:t>
      </w:r>
      <w:r>
        <w:rPr>
          <w:rFonts w:hint="eastAsia" w:ascii="仿宋" w:hAnsi="仿宋" w:eastAsia="仿宋" w:cs="仿宋"/>
          <w:b w:val="0"/>
          <w:bCs w:val="0"/>
          <w:spacing w:val="-3"/>
          <w:sz w:val="24"/>
          <w:szCs w:val="24"/>
          <w:u w:val="none"/>
        </w:rPr>
        <w:t>一起排入本项目自建的污水处理站集中处理。处理达到《医疗机构水</w:t>
      </w:r>
      <w:r>
        <w:rPr>
          <w:rFonts w:hint="eastAsia" w:ascii="仿宋" w:hAnsi="仿宋" w:eastAsia="仿宋" w:cs="仿宋"/>
          <w:b w:val="0"/>
          <w:bCs w:val="0"/>
          <w:spacing w:val="2"/>
          <w:sz w:val="24"/>
          <w:szCs w:val="24"/>
          <w:u w:val="none"/>
        </w:rPr>
        <w:t xml:space="preserve"> </w:t>
      </w:r>
      <w:r>
        <w:rPr>
          <w:rFonts w:hint="eastAsia" w:ascii="仿宋" w:hAnsi="仿宋" w:eastAsia="仿宋" w:cs="仿宋"/>
          <w:b w:val="0"/>
          <w:bCs w:val="0"/>
          <w:spacing w:val="3"/>
          <w:sz w:val="24"/>
          <w:szCs w:val="24"/>
          <w:u w:val="none"/>
        </w:rPr>
        <w:t>污染排放标准》(</w:t>
      </w:r>
      <w:r>
        <w:rPr>
          <w:rFonts w:hint="eastAsia" w:ascii="仿宋" w:hAnsi="仿宋" w:eastAsia="仿宋" w:cs="仿宋"/>
          <w:b w:val="0"/>
          <w:bCs w:val="0"/>
          <w:sz w:val="24"/>
          <w:szCs w:val="24"/>
          <w:u w:val="none"/>
        </w:rPr>
        <w:t>GB</w:t>
      </w:r>
      <w:r>
        <w:rPr>
          <w:rFonts w:hint="eastAsia" w:ascii="仿宋" w:hAnsi="仿宋" w:eastAsia="仿宋" w:cs="仿宋"/>
          <w:b w:val="0"/>
          <w:bCs w:val="0"/>
          <w:spacing w:val="3"/>
          <w:sz w:val="24"/>
          <w:szCs w:val="24"/>
          <w:u w:val="none"/>
        </w:rPr>
        <w:t xml:space="preserve"> 18466-2005)</w:t>
      </w:r>
      <w:r>
        <w:rPr>
          <w:rFonts w:hint="eastAsia" w:ascii="仿宋" w:hAnsi="仿宋" w:eastAsia="仿宋" w:cs="仿宋"/>
          <w:b w:val="0"/>
          <w:bCs w:val="0"/>
          <w:spacing w:val="-41"/>
          <w:sz w:val="24"/>
          <w:szCs w:val="24"/>
          <w:u w:val="none"/>
        </w:rPr>
        <w:t xml:space="preserve"> </w:t>
      </w:r>
      <w:r>
        <w:rPr>
          <w:rFonts w:hint="eastAsia" w:ascii="仿宋" w:hAnsi="仿宋" w:eastAsia="仿宋" w:cs="仿宋"/>
          <w:b w:val="0"/>
          <w:bCs w:val="0"/>
          <w:spacing w:val="2"/>
          <w:sz w:val="24"/>
          <w:szCs w:val="24"/>
          <w:u w:val="none"/>
        </w:rPr>
        <w:t>中表2 预处理标准后排入南京溧</w:t>
      </w:r>
      <w:r>
        <w:rPr>
          <w:rFonts w:hint="eastAsia" w:ascii="仿宋" w:hAnsi="仿宋" w:eastAsia="仿宋" w:cs="仿宋"/>
          <w:b w:val="0"/>
          <w:bCs w:val="0"/>
          <w:spacing w:val="-5"/>
          <w:sz w:val="24"/>
          <w:szCs w:val="24"/>
          <w:u w:val="none"/>
        </w:rPr>
        <w:t>水秦源污水处理有限公司</w:t>
      </w:r>
      <w:r>
        <w:rPr>
          <w:rFonts w:hint="eastAsia" w:ascii="仿宋" w:hAnsi="仿宋" w:eastAsia="仿宋" w:cs="仿宋"/>
          <w:b w:val="0"/>
          <w:bCs w:val="0"/>
          <w:snapToGrid w:val="0"/>
          <w:color w:val="000000"/>
          <w:spacing w:val="-3"/>
          <w:kern w:val="0"/>
          <w:sz w:val="24"/>
          <w:szCs w:val="24"/>
          <w:u w:val="none"/>
          <w:lang w:val="en-US" w:eastAsia="en-US" w:bidi="ar-SA"/>
        </w:rPr>
        <w:t>。</w:t>
      </w:r>
      <w:r>
        <w:rPr>
          <w:rFonts w:hint="eastAsia" w:ascii="仿宋" w:hAnsi="仿宋" w:eastAsia="仿宋" w:cs="仿宋"/>
          <w:b w:val="0"/>
          <w:bCs w:val="0"/>
          <w:snapToGrid w:val="0"/>
          <w:color w:val="000000"/>
          <w:spacing w:val="-3"/>
          <w:kern w:val="0"/>
          <w:sz w:val="24"/>
          <w:szCs w:val="24"/>
          <w:u w:val="none"/>
          <w:lang w:val="en-US" w:eastAsia="zh-CN" w:bidi="ar-SA"/>
        </w:rPr>
        <w:t>5个雨水排口，经收集后排入一干河。</w:t>
      </w:r>
    </w:p>
    <w:p w14:paraId="5AE837C1">
      <w:pPr>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b w:val="0"/>
          <w:bCs w:val="0"/>
          <w:spacing w:val="-3"/>
          <w:sz w:val="24"/>
          <w:szCs w:val="24"/>
          <w:u w:val="none"/>
          <w:lang w:val="en-US" w:eastAsia="zh-CN"/>
        </w:rPr>
      </w:pPr>
      <w:r>
        <w:rPr>
          <w:rFonts w:hint="eastAsia" w:ascii="仿宋" w:hAnsi="仿宋" w:eastAsia="仿宋" w:cs="仿宋"/>
          <w:b w:val="0"/>
          <w:bCs w:val="0"/>
          <w:snapToGrid w:val="0"/>
          <w:color w:val="000000"/>
          <w:spacing w:val="5"/>
          <w:kern w:val="0"/>
          <w:sz w:val="24"/>
          <w:szCs w:val="24"/>
          <w:u w:val="none"/>
          <w:lang w:val="en-US" w:eastAsia="en-US" w:bidi="ar-SA"/>
        </w:rPr>
        <w:t>废气方面：</w:t>
      </w:r>
      <w:r>
        <w:rPr>
          <w:rFonts w:hint="eastAsia" w:ascii="仿宋" w:hAnsi="仿宋" w:eastAsia="仿宋" w:cs="仿宋"/>
          <w:b w:val="0"/>
          <w:bCs w:val="0"/>
          <w:spacing w:val="-3"/>
          <w:sz w:val="24"/>
          <w:szCs w:val="24"/>
          <w:u w:val="none"/>
        </w:rPr>
        <w:t>厂内共设有</w:t>
      </w:r>
      <w:r>
        <w:rPr>
          <w:rFonts w:hint="eastAsia" w:ascii="仿宋" w:hAnsi="仿宋" w:eastAsia="仿宋" w:cs="仿宋"/>
          <w:b w:val="0"/>
          <w:bCs w:val="0"/>
          <w:spacing w:val="-3"/>
          <w:sz w:val="24"/>
          <w:szCs w:val="24"/>
          <w:u w:val="none"/>
          <w:lang w:val="en-US" w:eastAsia="zh-CN"/>
        </w:rPr>
        <w:t>3</w:t>
      </w:r>
      <w:r>
        <w:rPr>
          <w:rFonts w:hint="eastAsia" w:ascii="仿宋" w:hAnsi="仿宋" w:eastAsia="仿宋" w:cs="仿宋"/>
          <w:b w:val="0"/>
          <w:bCs w:val="0"/>
          <w:spacing w:val="-3"/>
          <w:sz w:val="24"/>
          <w:szCs w:val="24"/>
          <w:u w:val="none"/>
        </w:rPr>
        <w:t>个锅炉废气排放口，主要污染物为颗粒物、二氧化硫、氮氧化物、林格曼黑度。</w:t>
      </w:r>
      <w:r>
        <w:rPr>
          <w:rFonts w:hint="eastAsia" w:ascii="仿宋" w:hAnsi="仿宋" w:eastAsia="仿宋" w:cs="仿宋"/>
          <w:b w:val="0"/>
          <w:bCs w:val="0"/>
          <w:spacing w:val="-3"/>
          <w:sz w:val="24"/>
          <w:szCs w:val="24"/>
          <w:u w:val="none"/>
          <w:lang w:val="en-US" w:eastAsia="zh-CN"/>
        </w:rPr>
        <w:t>1个污水处理站废气排口，主要污染物为：硫化氢、氨气、臭气浓度。</w:t>
      </w:r>
    </w:p>
    <w:p w14:paraId="17B1061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 w:hAnsi="仿宋" w:eastAsia="仿宋" w:cs="仿宋"/>
          <w:b w:val="0"/>
          <w:bCs w:val="0"/>
          <w:spacing w:val="-3"/>
          <w:sz w:val="24"/>
          <w:szCs w:val="24"/>
          <w:u w:val="none"/>
        </w:rPr>
      </w:pPr>
      <w:r>
        <w:rPr>
          <w:rFonts w:hint="eastAsia" w:ascii="仿宋" w:hAnsi="仿宋" w:eastAsia="仿宋" w:cs="仿宋"/>
          <w:b w:val="0"/>
          <w:bCs w:val="0"/>
          <w:spacing w:val="-3"/>
          <w:sz w:val="24"/>
          <w:szCs w:val="24"/>
          <w:u w:val="none"/>
        </w:rPr>
        <w:t>无组织排放废气方面：污水处理站废气氨、硫化氢、臭气浓度、氯气、甲烷。</w:t>
      </w:r>
    </w:p>
    <w:p w14:paraId="2E8BA0AD">
      <w:pPr>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b w:val="0"/>
          <w:bCs w:val="0"/>
          <w:sz w:val="24"/>
          <w:szCs w:val="24"/>
          <w:u w:val="none"/>
        </w:rPr>
      </w:pPr>
      <w:r>
        <w:rPr>
          <w:rFonts w:hint="eastAsia" w:ascii="仿宋" w:hAnsi="仿宋" w:eastAsia="仿宋" w:cs="仿宋"/>
          <w:b w:val="0"/>
          <w:bCs w:val="0"/>
          <w:spacing w:val="-3"/>
          <w:sz w:val="24"/>
          <w:szCs w:val="24"/>
          <w:u w:val="none"/>
        </w:rPr>
        <w:t>噪声方面：噪音主要是空调和风机。空调室外机设置与靠外墙处</w:t>
      </w:r>
      <w:r>
        <w:rPr>
          <w:rFonts w:hint="eastAsia" w:ascii="仿宋" w:hAnsi="仿宋" w:eastAsia="仿宋" w:cs="仿宋"/>
          <w:b w:val="0"/>
          <w:bCs w:val="0"/>
          <w:spacing w:val="4"/>
          <w:sz w:val="24"/>
          <w:szCs w:val="24"/>
          <w:u w:val="none"/>
        </w:rPr>
        <w:t xml:space="preserve"> </w:t>
      </w:r>
      <w:r>
        <w:rPr>
          <w:rFonts w:hint="eastAsia" w:ascii="仿宋" w:hAnsi="仿宋" w:eastAsia="仿宋" w:cs="仿宋"/>
          <w:b w:val="0"/>
          <w:bCs w:val="0"/>
          <w:spacing w:val="-6"/>
          <w:sz w:val="24"/>
          <w:szCs w:val="24"/>
          <w:u w:val="none"/>
        </w:rPr>
        <w:t>并采用软性基座连接等。风机独立安装在室</w:t>
      </w:r>
      <w:r>
        <w:rPr>
          <w:rFonts w:hint="eastAsia" w:ascii="仿宋" w:hAnsi="仿宋" w:eastAsia="仿宋" w:cs="仿宋"/>
          <w:b w:val="0"/>
          <w:bCs w:val="0"/>
          <w:spacing w:val="-7"/>
          <w:sz w:val="24"/>
          <w:szCs w:val="24"/>
          <w:u w:val="none"/>
        </w:rPr>
        <w:t>外，采用减震基座及橡胶减</w:t>
      </w:r>
    </w:p>
    <w:p w14:paraId="1BE8A797">
      <w:pPr>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b w:val="0"/>
          <w:bCs w:val="0"/>
          <w:u w:val="none"/>
        </w:rPr>
      </w:pPr>
      <w:r>
        <w:rPr>
          <w:rFonts w:hint="eastAsia" w:ascii="仿宋" w:hAnsi="仿宋" w:eastAsia="仿宋" w:cs="仿宋"/>
          <w:b w:val="0"/>
          <w:bCs w:val="0"/>
          <w:spacing w:val="-7"/>
          <w:sz w:val="24"/>
          <w:szCs w:val="24"/>
          <w:u w:val="none"/>
        </w:rPr>
        <w:t>震垫。外包隔声罩，内衬吸声材料，出口设置消声器。</w:t>
      </w:r>
    </w:p>
    <w:p w14:paraId="7A76C2B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仿宋" w:hAnsi="仿宋" w:eastAsia="仿宋" w:cs="仿宋"/>
          <w:b w:val="0"/>
          <w:bCs w:val="0"/>
          <w:spacing w:val="14"/>
          <w:sz w:val="31"/>
          <w:szCs w:val="31"/>
          <w:u w:val="none"/>
          <w:lang w:val="en-US" w:eastAsia="zh-CN"/>
          <w14:textOutline w14:w="5791" w14:cap="sq" w14:cmpd="sng" w14:algn="ctr">
            <w14:solidFill>
              <w14:srgbClr w14:val="000000"/>
            </w14:solidFill>
            <w14:prstDash w14:val="solid"/>
            <w14:bevel/>
          </w14:textOutline>
        </w:rPr>
      </w:pPr>
      <w:r>
        <w:rPr>
          <w:rFonts w:hint="eastAsia" w:ascii="仿宋" w:hAnsi="仿宋" w:eastAsia="仿宋" w:cs="仿宋"/>
          <w:b w:val="0"/>
          <w:bCs w:val="0"/>
          <w:spacing w:val="14"/>
          <w:sz w:val="31"/>
          <w:szCs w:val="31"/>
          <w:u w:val="none"/>
          <w:lang w:val="en-US" w:eastAsia="zh-CN"/>
          <w14:textOutline w14:w="5791" w14:cap="sq" w14:cmpd="sng" w14:algn="ctr">
            <w14:solidFill>
              <w14:srgbClr w14:val="000000"/>
            </w14:solidFill>
            <w14:prstDash w14:val="solid"/>
            <w14:bevel/>
          </w14:textOutline>
        </w:rPr>
        <w:t>二、企业自行监测开展情况说明</w:t>
      </w:r>
    </w:p>
    <w:p w14:paraId="46E37F78">
      <w:pPr>
        <w:keepNext w:val="0"/>
        <w:keepLines w:val="0"/>
        <w:pageBreakBefore w:val="0"/>
        <w:widowControl/>
        <w:kinsoku/>
        <w:wordWrap/>
        <w:overflowPunct/>
        <w:topLinePunct w:val="0"/>
        <w:autoSpaceDE w:val="0"/>
        <w:autoSpaceDN w:val="0"/>
        <w:bidi w:val="0"/>
        <w:adjustRightInd w:val="0"/>
        <w:snapToGrid w:val="0"/>
        <w:spacing w:line="360" w:lineRule="auto"/>
        <w:ind w:left="0" w:firstLine="540" w:firstLineChars="200"/>
        <w:textAlignment w:val="baseline"/>
        <w:rPr>
          <w:rFonts w:hint="eastAsia" w:ascii="仿宋" w:hAnsi="仿宋" w:eastAsia="仿宋" w:cs="仿宋"/>
          <w:b w:val="0"/>
          <w:bCs w:val="0"/>
          <w:spacing w:val="15"/>
          <w:sz w:val="24"/>
          <w:szCs w:val="24"/>
          <w:u w:val="none"/>
          <w:lang w:val="en-US" w:eastAsia="zh-CN"/>
        </w:rPr>
      </w:pPr>
      <w:r>
        <w:rPr>
          <w:rFonts w:hint="eastAsia" w:ascii="仿宋" w:hAnsi="仿宋" w:eastAsia="仿宋" w:cs="仿宋"/>
          <w:b w:val="0"/>
          <w:bCs w:val="0"/>
          <w:spacing w:val="15"/>
          <w:sz w:val="24"/>
          <w:szCs w:val="24"/>
          <w:u w:val="none"/>
        </w:rPr>
        <w:t>本院2019年11月通过排污许可证系统审核，2020年9月根据市环保局统一要求编制了自行监测方案，2020年10月起按照最新自行监测方案开展相关监测工作</w:t>
      </w:r>
      <w:r>
        <w:rPr>
          <w:rFonts w:hint="eastAsia" w:ascii="仿宋" w:hAnsi="仿宋" w:eastAsia="仿宋" w:cs="仿宋"/>
          <w:b w:val="0"/>
          <w:bCs w:val="0"/>
          <w:spacing w:val="15"/>
          <w:sz w:val="24"/>
          <w:szCs w:val="24"/>
          <w:u w:val="none"/>
          <w:lang w:eastAsia="zh-CN"/>
        </w:rPr>
        <w:t>。</w:t>
      </w:r>
      <w:r>
        <w:rPr>
          <w:rFonts w:hint="eastAsia" w:ascii="仿宋" w:hAnsi="仿宋" w:eastAsia="仿宋" w:cs="仿宋"/>
          <w:b w:val="0"/>
          <w:bCs w:val="0"/>
          <w:color w:val="FF0000"/>
          <w:spacing w:val="15"/>
          <w:sz w:val="24"/>
          <w:szCs w:val="24"/>
          <w:u w:val="none"/>
          <w:lang w:val="en-US" w:eastAsia="zh-CN"/>
        </w:rPr>
        <w:t>2022年11月，因新增1个锅炉废气排口、1个污水处理站废气排口，对排污证进行重申</w:t>
      </w:r>
      <w:r>
        <w:rPr>
          <w:rFonts w:hint="eastAsia" w:ascii="仿宋" w:hAnsi="仿宋" w:eastAsia="仿宋" w:cs="仿宋"/>
          <w:b w:val="0"/>
          <w:bCs w:val="0"/>
          <w:spacing w:val="15"/>
          <w:sz w:val="24"/>
          <w:szCs w:val="24"/>
          <w:u w:val="none"/>
          <w:lang w:val="en-US" w:eastAsia="zh-CN"/>
        </w:rPr>
        <w:t>。2024年9月本单位根据</w:t>
      </w:r>
      <w:r>
        <w:rPr>
          <w:rFonts w:hint="eastAsia" w:ascii="仿宋" w:hAnsi="仿宋" w:eastAsia="仿宋" w:cs="仿宋"/>
          <w:b w:val="0"/>
          <w:bCs w:val="0"/>
          <w:spacing w:val="15"/>
          <w:sz w:val="24"/>
          <w:szCs w:val="24"/>
          <w:highlight w:val="yellow"/>
          <w:u w:val="none"/>
          <w:lang w:val="en-US" w:eastAsia="zh-CN"/>
        </w:rPr>
        <w:t>生态环境局</w:t>
      </w:r>
      <w:r>
        <w:rPr>
          <w:rFonts w:hint="eastAsia" w:ascii="仿宋" w:hAnsi="仿宋" w:eastAsia="仿宋" w:cs="仿宋"/>
          <w:b w:val="0"/>
          <w:bCs w:val="0"/>
          <w:spacing w:val="15"/>
          <w:sz w:val="24"/>
          <w:szCs w:val="24"/>
          <w:u w:val="none"/>
          <w:lang w:val="en-US" w:eastAsia="zh-CN"/>
        </w:rPr>
        <w:t>要求，对污水处理站有组织废气部分因子的检测方法进行更新，对总余氯监测点位进行进一步明确，自2024年9月起，按照最新自行监测方案开展相关监测工作。</w:t>
      </w:r>
    </w:p>
    <w:p w14:paraId="5EF3D21C">
      <w:pPr>
        <w:keepNext w:val="0"/>
        <w:keepLines w:val="0"/>
        <w:pageBreakBefore w:val="0"/>
        <w:widowControl/>
        <w:kinsoku/>
        <w:wordWrap/>
        <w:overflowPunct/>
        <w:topLinePunct w:val="0"/>
        <w:autoSpaceDE w:val="0"/>
        <w:autoSpaceDN w:val="0"/>
        <w:bidi w:val="0"/>
        <w:adjustRightInd w:val="0"/>
        <w:snapToGrid w:val="0"/>
        <w:spacing w:line="360" w:lineRule="auto"/>
        <w:ind w:left="0" w:firstLine="540" w:firstLineChars="200"/>
        <w:textAlignment w:val="baseline"/>
        <w:rPr>
          <w:rFonts w:hint="eastAsia" w:ascii="仿宋" w:hAnsi="仿宋" w:eastAsia="仿宋" w:cs="仿宋"/>
          <w:b w:val="0"/>
          <w:bCs w:val="0"/>
          <w:spacing w:val="15"/>
          <w:sz w:val="24"/>
          <w:szCs w:val="24"/>
          <w:u w:val="none"/>
        </w:rPr>
      </w:pPr>
      <w:r>
        <w:rPr>
          <w:rFonts w:hint="eastAsia" w:ascii="仿宋" w:hAnsi="仿宋" w:eastAsia="仿宋" w:cs="仿宋"/>
          <w:b w:val="0"/>
          <w:bCs w:val="0"/>
          <w:spacing w:val="15"/>
          <w:sz w:val="24"/>
          <w:szCs w:val="24"/>
          <w:u w:val="none"/>
        </w:rPr>
        <w:t>本院自行监测手段采用手工监测+自动监测相结合，开展自动监测的项目有废水中的流量、pH、化学需氧量和余氯，其他未开展自动监测的项目均采用手工监测。</w:t>
      </w:r>
    </w:p>
    <w:p w14:paraId="0E80DEBC">
      <w:pPr>
        <w:keepNext w:val="0"/>
        <w:keepLines w:val="0"/>
        <w:pageBreakBefore w:val="0"/>
        <w:widowControl/>
        <w:kinsoku/>
        <w:wordWrap/>
        <w:overflowPunct/>
        <w:topLinePunct w:val="0"/>
        <w:autoSpaceDE w:val="0"/>
        <w:autoSpaceDN w:val="0"/>
        <w:bidi w:val="0"/>
        <w:adjustRightInd w:val="0"/>
        <w:snapToGrid w:val="0"/>
        <w:spacing w:line="360" w:lineRule="auto"/>
        <w:ind w:left="0" w:firstLine="540" w:firstLineChars="200"/>
        <w:textAlignment w:val="baseline"/>
        <w:rPr>
          <w:rFonts w:hint="eastAsia" w:ascii="仿宋" w:hAnsi="仿宋" w:eastAsia="仿宋" w:cs="仿宋"/>
          <w:b w:val="0"/>
          <w:bCs w:val="0"/>
          <w:spacing w:val="15"/>
          <w:sz w:val="27"/>
          <w:szCs w:val="27"/>
          <w:u w:val="none"/>
        </w:rPr>
      </w:pPr>
      <w:r>
        <w:rPr>
          <w:rFonts w:hint="eastAsia" w:ascii="仿宋" w:hAnsi="仿宋" w:eastAsia="仿宋" w:cs="仿宋"/>
          <w:b w:val="0"/>
          <w:bCs w:val="0"/>
          <w:spacing w:val="15"/>
          <w:sz w:val="24"/>
          <w:szCs w:val="24"/>
          <w:u w:val="none"/>
        </w:rPr>
        <w:t>本院在废水排放口安装流量、pH、化学需氧量和余氯在线监测</w:t>
      </w:r>
      <w:r>
        <w:rPr>
          <w:rFonts w:hint="eastAsia" w:ascii="仿宋" w:hAnsi="仿宋" w:eastAsia="仿宋" w:cs="仿宋"/>
          <w:b w:val="0"/>
          <w:bCs w:val="0"/>
          <w:spacing w:val="15"/>
          <w:sz w:val="24"/>
          <w:szCs w:val="24"/>
          <w:u w:val="none"/>
          <w:lang w:val="en-US" w:eastAsia="zh-CN"/>
        </w:rPr>
        <w:t>系统</w:t>
      </w:r>
      <w:r>
        <w:rPr>
          <w:rFonts w:hint="eastAsia" w:ascii="仿宋" w:hAnsi="仿宋" w:eastAsia="仿宋" w:cs="仿宋"/>
          <w:b w:val="0"/>
          <w:bCs w:val="0"/>
          <w:spacing w:val="15"/>
          <w:sz w:val="24"/>
          <w:szCs w:val="24"/>
          <w:u w:val="none"/>
        </w:rPr>
        <w:t>，对污染因子进行实时监测，并与省、市、区</w:t>
      </w:r>
      <w:r>
        <w:rPr>
          <w:rFonts w:hint="eastAsia" w:ascii="仿宋" w:hAnsi="仿宋" w:eastAsia="仿宋" w:cs="仿宋"/>
          <w:b w:val="0"/>
          <w:bCs w:val="0"/>
          <w:spacing w:val="15"/>
          <w:sz w:val="24"/>
          <w:szCs w:val="24"/>
          <w:u w:val="none"/>
          <w:lang w:val="en-US" w:eastAsia="zh-CN"/>
        </w:rPr>
        <w:t>生态环境局</w:t>
      </w:r>
      <w:r>
        <w:rPr>
          <w:rFonts w:hint="eastAsia" w:ascii="仿宋" w:hAnsi="仿宋" w:eastAsia="仿宋" w:cs="仿宋"/>
          <w:b w:val="0"/>
          <w:bCs w:val="0"/>
          <w:spacing w:val="15"/>
          <w:sz w:val="24"/>
          <w:szCs w:val="24"/>
          <w:u w:val="none"/>
        </w:rPr>
        <w:t>联网，委托</w:t>
      </w:r>
      <w:r>
        <w:rPr>
          <w:rFonts w:hint="eastAsia" w:ascii="仿宋" w:hAnsi="仿宋" w:eastAsia="仿宋" w:cs="仿宋"/>
          <w:b w:val="0"/>
          <w:bCs w:val="0"/>
          <w:spacing w:val="15"/>
          <w:sz w:val="24"/>
          <w:szCs w:val="24"/>
          <w:u w:val="none"/>
          <w:lang w:val="en-US" w:eastAsia="zh-CN"/>
        </w:rPr>
        <w:t>第三方检测</w:t>
      </w:r>
      <w:r>
        <w:rPr>
          <w:rFonts w:hint="eastAsia" w:ascii="仿宋" w:hAnsi="仿宋" w:eastAsia="仿宋" w:cs="仿宋"/>
          <w:b w:val="0"/>
          <w:bCs w:val="0"/>
          <w:spacing w:val="15"/>
          <w:sz w:val="24"/>
          <w:szCs w:val="24"/>
          <w:u w:val="none"/>
        </w:rPr>
        <w:t>公司实现24小时运维。</w:t>
      </w:r>
    </w:p>
    <w:p w14:paraId="36805A4C">
      <w:pPr>
        <w:ind w:left="0" w:leftChars="0" w:firstLine="676" w:firstLineChars="200"/>
        <w:rPr>
          <w:rFonts w:hint="eastAsia" w:ascii="仿宋" w:hAnsi="仿宋" w:eastAsia="仿宋" w:cs="仿宋"/>
          <w:b w:val="0"/>
          <w:bCs w:val="0"/>
          <w:spacing w:val="14"/>
          <w:sz w:val="31"/>
          <w:szCs w:val="31"/>
          <w:u w:val="none"/>
          <w:lang w:val="en-US" w:eastAsia="zh-CN"/>
          <w14:textOutline w14:w="5791" w14:cap="sq" w14:cmpd="sng" w14:algn="ctr">
            <w14:solidFill>
              <w14:srgbClr w14:val="000000"/>
            </w14:solidFill>
            <w14:prstDash w14:val="solid"/>
            <w14:bevel/>
          </w14:textOutline>
        </w:rPr>
      </w:pPr>
    </w:p>
    <w:p w14:paraId="74021152">
      <w:pPr>
        <w:ind w:left="0" w:leftChars="0" w:firstLine="676" w:firstLineChars="200"/>
        <w:rPr>
          <w:rFonts w:hint="eastAsia" w:ascii="仿宋" w:hAnsi="仿宋" w:eastAsia="仿宋" w:cs="仿宋"/>
          <w:b w:val="0"/>
          <w:bCs w:val="0"/>
          <w:spacing w:val="14"/>
          <w:sz w:val="31"/>
          <w:szCs w:val="31"/>
          <w:u w:val="none"/>
          <w:lang w:val="en-US" w:eastAsia="zh-CN"/>
          <w14:textOutline w14:w="5791" w14:cap="sq" w14:cmpd="sng" w14:algn="ctr">
            <w14:solidFill>
              <w14:srgbClr w14:val="000000"/>
            </w14:solidFill>
            <w14:prstDash w14:val="solid"/>
            <w14:bevel/>
          </w14:textOutline>
        </w:rPr>
      </w:pPr>
      <w:r>
        <w:rPr>
          <w:rFonts w:hint="eastAsia" w:ascii="仿宋" w:hAnsi="仿宋" w:eastAsia="仿宋" w:cs="仿宋"/>
          <w:b w:val="0"/>
          <w:bCs w:val="0"/>
          <w:spacing w:val="14"/>
          <w:sz w:val="31"/>
          <w:szCs w:val="31"/>
          <w:u w:val="none"/>
          <w:lang w:val="en-US" w:eastAsia="zh-CN"/>
          <w14:textOutline w14:w="5791" w14:cap="sq" w14:cmpd="sng" w14:algn="ctr">
            <w14:solidFill>
              <w14:srgbClr w14:val="000000"/>
            </w14:solidFill>
            <w14:prstDash w14:val="solid"/>
            <w14:bevel/>
          </w14:textOutline>
        </w:rPr>
        <w:t>三、监测方案</w:t>
      </w:r>
    </w:p>
    <w:p w14:paraId="72F2BB15">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1"/>
        <w:rPr>
          <w:rFonts w:hint="eastAsia" w:ascii="仿宋" w:hAnsi="仿宋" w:eastAsia="仿宋" w:cs="仿宋"/>
          <w:b w:val="0"/>
          <w:bCs w:val="0"/>
          <w:sz w:val="31"/>
          <w:szCs w:val="31"/>
          <w:u w:val="none"/>
        </w:rPr>
      </w:pPr>
      <w:r>
        <w:rPr>
          <w:rFonts w:hint="eastAsia" w:ascii="仿宋" w:hAnsi="仿宋" w:eastAsia="仿宋" w:cs="仿宋"/>
          <w:b w:val="0"/>
          <w:bCs w:val="0"/>
          <w:spacing w:val="1"/>
          <w:sz w:val="31"/>
          <w:szCs w:val="31"/>
          <w:u w:val="none"/>
        </w:rPr>
        <w:t>(一)废气有组织监测方案</w:t>
      </w:r>
    </w:p>
    <w:p w14:paraId="38CBA3E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15"/>
          <w:sz w:val="24"/>
          <w:szCs w:val="24"/>
          <w:u w:val="none"/>
          <w:lang w:val="en-US" w:eastAsia="zh-CN"/>
        </w:rPr>
      </w:pPr>
      <w:r>
        <w:rPr>
          <w:rFonts w:hint="eastAsia" w:ascii="仿宋" w:hAnsi="仿宋" w:eastAsia="仿宋" w:cs="仿宋"/>
          <w:b w:val="0"/>
          <w:bCs w:val="0"/>
          <w:spacing w:val="15"/>
          <w:sz w:val="24"/>
          <w:szCs w:val="24"/>
          <w:u w:val="none"/>
          <w:lang w:val="en-US" w:eastAsia="zh-CN"/>
        </w:rPr>
        <w:t>1、废气有组织监测点位、监测项目及监测频次见表1。</w:t>
      </w:r>
    </w:p>
    <w:p w14:paraId="42EA424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val="0"/>
          <w:bCs w:val="0"/>
          <w:snapToGrid w:val="0"/>
          <w:color w:val="000000"/>
          <w:spacing w:val="0"/>
          <w:kern w:val="0"/>
          <w:position w:val="0"/>
          <w:sz w:val="24"/>
          <w:szCs w:val="24"/>
          <w:u w:val="none"/>
          <w:lang w:val="en-US" w:eastAsia="zh-CN" w:bidi="ar-SA"/>
        </w:rPr>
      </w:pPr>
      <w:r>
        <w:rPr>
          <w:rFonts w:hint="eastAsia" w:ascii="仿宋" w:hAnsi="仿宋" w:eastAsia="仿宋" w:cs="仿宋"/>
          <w:b w:val="0"/>
          <w:bCs w:val="0"/>
          <w:snapToGrid w:val="0"/>
          <w:color w:val="000000"/>
          <w:spacing w:val="0"/>
          <w:kern w:val="0"/>
          <w:position w:val="0"/>
          <w:sz w:val="24"/>
          <w:szCs w:val="24"/>
          <w:u w:val="none"/>
          <w:lang w:val="en-US" w:eastAsia="zh-CN" w:bidi="ar-SA"/>
        </w:rPr>
        <w:t>表1 废气污染源监测内容一览表</w:t>
      </w:r>
    </w:p>
    <w:p w14:paraId="32A1AEC4">
      <w:pPr>
        <w:spacing w:line="30" w:lineRule="exact"/>
        <w:rPr>
          <w:rFonts w:hint="eastAsia" w:ascii="仿宋" w:hAnsi="仿宋" w:eastAsia="仿宋" w:cs="仿宋"/>
          <w:b w:val="0"/>
          <w:bCs w:val="0"/>
          <w:u w:val="none"/>
        </w:rPr>
      </w:pPr>
    </w:p>
    <w:tbl>
      <w:tblPr>
        <w:tblStyle w:val="31"/>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6"/>
        <w:gridCol w:w="1018"/>
        <w:gridCol w:w="1761"/>
        <w:gridCol w:w="1376"/>
        <w:gridCol w:w="1018"/>
        <w:gridCol w:w="833"/>
        <w:gridCol w:w="1649"/>
      </w:tblGrid>
      <w:tr w14:paraId="0C8DE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jc w:val="center"/>
        </w:trPr>
        <w:tc>
          <w:tcPr>
            <w:tcW w:w="780" w:type="pct"/>
            <w:vAlign w:val="center"/>
          </w:tcPr>
          <w:p w14:paraId="41F3C33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z w:val="21"/>
                <w:szCs w:val="21"/>
                <w:u w:val="none"/>
              </w:rPr>
            </w:pPr>
            <w:r>
              <w:rPr>
                <w:rFonts w:hint="eastAsia" w:ascii="仿宋" w:hAnsi="仿宋" w:eastAsia="仿宋" w:cs="仿宋"/>
                <w:b w:val="0"/>
                <w:bCs w:val="0"/>
                <w:spacing w:val="6"/>
                <w:sz w:val="21"/>
                <w:szCs w:val="21"/>
                <w:u w:val="none"/>
              </w:rPr>
              <w:t>类型</w:t>
            </w:r>
          </w:p>
        </w:tc>
        <w:tc>
          <w:tcPr>
            <w:tcW w:w="561" w:type="pct"/>
            <w:vAlign w:val="center"/>
          </w:tcPr>
          <w:p w14:paraId="0DB78D1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2"/>
                <w:sz w:val="21"/>
                <w:szCs w:val="21"/>
                <w:u w:val="none"/>
              </w:rPr>
            </w:pPr>
            <w:r>
              <w:rPr>
                <w:rFonts w:hint="eastAsia" w:ascii="仿宋" w:hAnsi="仿宋" w:eastAsia="仿宋" w:cs="仿宋"/>
                <w:b w:val="0"/>
                <w:bCs w:val="0"/>
                <w:spacing w:val="2"/>
                <w:sz w:val="21"/>
                <w:szCs w:val="21"/>
                <w:u w:val="none"/>
              </w:rPr>
              <w:t>排放口</w:t>
            </w:r>
          </w:p>
          <w:p w14:paraId="5EEDE97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z w:val="21"/>
                <w:szCs w:val="21"/>
                <w:u w:val="none"/>
              </w:rPr>
            </w:pPr>
            <w:r>
              <w:rPr>
                <w:rFonts w:hint="eastAsia" w:ascii="仿宋" w:hAnsi="仿宋" w:eastAsia="仿宋" w:cs="仿宋"/>
                <w:b w:val="0"/>
                <w:bCs w:val="0"/>
                <w:spacing w:val="2"/>
                <w:sz w:val="21"/>
                <w:szCs w:val="21"/>
                <w:u w:val="none"/>
              </w:rPr>
              <w:t>编号</w:t>
            </w:r>
          </w:p>
        </w:tc>
        <w:tc>
          <w:tcPr>
            <w:tcW w:w="970" w:type="pct"/>
            <w:vAlign w:val="center"/>
          </w:tcPr>
          <w:p w14:paraId="4905399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z w:val="21"/>
                <w:szCs w:val="21"/>
                <w:u w:val="none"/>
              </w:rPr>
            </w:pPr>
            <w:r>
              <w:rPr>
                <w:rFonts w:hint="eastAsia" w:ascii="仿宋" w:hAnsi="仿宋" w:eastAsia="仿宋" w:cs="仿宋"/>
                <w:b w:val="0"/>
                <w:bCs w:val="0"/>
                <w:spacing w:val="-2"/>
                <w:sz w:val="21"/>
                <w:szCs w:val="21"/>
                <w:u w:val="none"/>
              </w:rPr>
              <w:t>监测点位</w:t>
            </w:r>
          </w:p>
        </w:tc>
        <w:tc>
          <w:tcPr>
            <w:tcW w:w="758" w:type="pct"/>
            <w:vAlign w:val="center"/>
          </w:tcPr>
          <w:p w14:paraId="38A5ED4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z w:val="21"/>
                <w:szCs w:val="21"/>
                <w:u w:val="none"/>
              </w:rPr>
            </w:pPr>
            <w:r>
              <w:rPr>
                <w:rFonts w:hint="eastAsia" w:ascii="仿宋" w:hAnsi="仿宋" w:eastAsia="仿宋" w:cs="仿宋"/>
                <w:b w:val="0"/>
                <w:bCs w:val="0"/>
                <w:spacing w:val="10"/>
                <w:sz w:val="21"/>
                <w:szCs w:val="21"/>
                <w:u w:val="none"/>
              </w:rPr>
              <w:t>监测项目</w:t>
            </w:r>
          </w:p>
        </w:tc>
        <w:tc>
          <w:tcPr>
            <w:tcW w:w="561" w:type="pct"/>
            <w:vAlign w:val="center"/>
          </w:tcPr>
          <w:p w14:paraId="5DF65D8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z w:val="21"/>
                <w:szCs w:val="21"/>
                <w:u w:val="none"/>
              </w:rPr>
            </w:pPr>
            <w:r>
              <w:rPr>
                <w:rFonts w:hint="eastAsia" w:ascii="仿宋" w:hAnsi="仿宋" w:eastAsia="仿宋" w:cs="仿宋"/>
                <w:b w:val="0"/>
                <w:bCs w:val="0"/>
                <w:spacing w:val="-2"/>
                <w:sz w:val="21"/>
                <w:szCs w:val="21"/>
                <w:u w:val="none"/>
              </w:rPr>
              <w:t>监测频次</w:t>
            </w:r>
          </w:p>
        </w:tc>
        <w:tc>
          <w:tcPr>
            <w:tcW w:w="459" w:type="pct"/>
            <w:vAlign w:val="center"/>
          </w:tcPr>
          <w:p w14:paraId="0A29952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2"/>
                <w:sz w:val="21"/>
                <w:szCs w:val="21"/>
                <w:u w:val="none"/>
              </w:rPr>
            </w:pPr>
            <w:r>
              <w:rPr>
                <w:rFonts w:hint="eastAsia" w:ascii="仿宋" w:hAnsi="仿宋" w:eastAsia="仿宋" w:cs="仿宋"/>
                <w:b w:val="0"/>
                <w:bCs w:val="0"/>
                <w:spacing w:val="-2"/>
                <w:sz w:val="21"/>
                <w:szCs w:val="21"/>
                <w:u w:val="none"/>
              </w:rPr>
              <w:t>监测</w:t>
            </w:r>
          </w:p>
          <w:p w14:paraId="49E1D01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z w:val="21"/>
                <w:szCs w:val="21"/>
                <w:u w:val="none"/>
              </w:rPr>
            </w:pPr>
            <w:r>
              <w:rPr>
                <w:rFonts w:hint="eastAsia" w:ascii="仿宋" w:hAnsi="仿宋" w:eastAsia="仿宋" w:cs="仿宋"/>
                <w:b w:val="0"/>
                <w:bCs w:val="0"/>
                <w:spacing w:val="-2"/>
                <w:sz w:val="21"/>
                <w:szCs w:val="21"/>
                <w:u w:val="none"/>
              </w:rPr>
              <w:t>方式</w:t>
            </w:r>
          </w:p>
        </w:tc>
        <w:tc>
          <w:tcPr>
            <w:tcW w:w="908" w:type="pct"/>
            <w:vAlign w:val="center"/>
          </w:tcPr>
          <w:p w14:paraId="40CFB93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z w:val="21"/>
                <w:szCs w:val="21"/>
                <w:u w:val="none"/>
              </w:rPr>
            </w:pPr>
            <w:r>
              <w:rPr>
                <w:rFonts w:hint="eastAsia" w:ascii="仿宋" w:hAnsi="仿宋" w:eastAsia="仿宋" w:cs="仿宋"/>
                <w:b w:val="0"/>
                <w:bCs w:val="0"/>
                <w:sz w:val="21"/>
                <w:szCs w:val="21"/>
                <w:u w:val="none"/>
              </w:rPr>
              <w:t>自动监测</w:t>
            </w:r>
          </w:p>
          <w:p w14:paraId="4C3A4970">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z w:val="21"/>
                <w:szCs w:val="21"/>
                <w:u w:val="none"/>
              </w:rPr>
            </w:pPr>
            <w:r>
              <w:rPr>
                <w:rFonts w:hint="eastAsia" w:ascii="仿宋" w:hAnsi="仿宋" w:eastAsia="仿宋" w:cs="仿宋"/>
                <w:b w:val="0"/>
                <w:bCs w:val="0"/>
                <w:spacing w:val="1"/>
                <w:sz w:val="21"/>
                <w:szCs w:val="21"/>
                <w:u w:val="none"/>
              </w:rPr>
              <w:t>是否联网</w:t>
            </w:r>
          </w:p>
        </w:tc>
      </w:tr>
      <w:tr w14:paraId="75CFA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780" w:type="pct"/>
            <w:vMerge w:val="restart"/>
            <w:vAlign w:val="center"/>
          </w:tcPr>
          <w:p w14:paraId="3A861EE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废气有组织排放</w:t>
            </w:r>
          </w:p>
        </w:tc>
        <w:tc>
          <w:tcPr>
            <w:tcW w:w="561" w:type="pct"/>
            <w:vMerge w:val="restart"/>
            <w:tcBorders>
              <w:bottom w:val="nil"/>
            </w:tcBorders>
            <w:vAlign w:val="center"/>
          </w:tcPr>
          <w:p w14:paraId="135CD75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DA006</w:t>
            </w:r>
          </w:p>
        </w:tc>
        <w:tc>
          <w:tcPr>
            <w:tcW w:w="970" w:type="pct"/>
            <w:vMerge w:val="restart"/>
            <w:tcBorders>
              <w:bottom w:val="nil"/>
            </w:tcBorders>
            <w:vAlign w:val="center"/>
          </w:tcPr>
          <w:p w14:paraId="416B58E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天然气热水锅炉废气排放口1</w:t>
            </w:r>
          </w:p>
        </w:tc>
        <w:tc>
          <w:tcPr>
            <w:tcW w:w="758" w:type="pct"/>
            <w:vAlign w:val="center"/>
          </w:tcPr>
          <w:p w14:paraId="0D14835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颗粒物</w:t>
            </w:r>
          </w:p>
        </w:tc>
        <w:tc>
          <w:tcPr>
            <w:tcW w:w="561" w:type="pct"/>
            <w:vAlign w:val="center"/>
          </w:tcPr>
          <w:p w14:paraId="5AACC2BD">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1次/年</w:t>
            </w:r>
          </w:p>
        </w:tc>
        <w:tc>
          <w:tcPr>
            <w:tcW w:w="459" w:type="pct"/>
            <w:vMerge w:val="restart"/>
            <w:vAlign w:val="center"/>
          </w:tcPr>
          <w:p w14:paraId="3FBADB0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手工监测</w:t>
            </w:r>
          </w:p>
        </w:tc>
        <w:tc>
          <w:tcPr>
            <w:tcW w:w="908" w:type="pct"/>
            <w:vAlign w:val="center"/>
          </w:tcPr>
          <w:p w14:paraId="0EF2DAD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w:t>
            </w:r>
          </w:p>
        </w:tc>
      </w:tr>
      <w:tr w14:paraId="3F283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780" w:type="pct"/>
            <w:vMerge w:val="continue"/>
            <w:vAlign w:val="top"/>
          </w:tcPr>
          <w:p w14:paraId="4EE8C5D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561" w:type="pct"/>
            <w:vMerge w:val="continue"/>
            <w:tcBorders>
              <w:top w:val="nil"/>
              <w:bottom w:val="nil"/>
            </w:tcBorders>
            <w:vAlign w:val="center"/>
          </w:tcPr>
          <w:p w14:paraId="46D82BC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970" w:type="pct"/>
            <w:vMerge w:val="continue"/>
            <w:tcBorders>
              <w:top w:val="nil"/>
              <w:bottom w:val="nil"/>
            </w:tcBorders>
            <w:vAlign w:val="center"/>
          </w:tcPr>
          <w:p w14:paraId="760C61A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758" w:type="pct"/>
            <w:vAlign w:val="center"/>
          </w:tcPr>
          <w:p w14:paraId="300FBE6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二氧化硫</w:t>
            </w:r>
          </w:p>
        </w:tc>
        <w:tc>
          <w:tcPr>
            <w:tcW w:w="561" w:type="pct"/>
            <w:vAlign w:val="center"/>
          </w:tcPr>
          <w:p w14:paraId="61CD1DC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1次/年</w:t>
            </w:r>
          </w:p>
        </w:tc>
        <w:tc>
          <w:tcPr>
            <w:tcW w:w="459" w:type="pct"/>
            <w:vMerge w:val="continue"/>
            <w:vAlign w:val="center"/>
          </w:tcPr>
          <w:p w14:paraId="72F7ACF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908" w:type="pct"/>
            <w:vAlign w:val="center"/>
          </w:tcPr>
          <w:p w14:paraId="3251FFDD">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w:t>
            </w:r>
          </w:p>
        </w:tc>
      </w:tr>
      <w:tr w14:paraId="0E04D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780" w:type="pct"/>
            <w:vMerge w:val="continue"/>
            <w:vAlign w:val="top"/>
          </w:tcPr>
          <w:p w14:paraId="75446150">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561" w:type="pct"/>
            <w:vMerge w:val="continue"/>
            <w:tcBorders>
              <w:top w:val="nil"/>
              <w:bottom w:val="nil"/>
            </w:tcBorders>
            <w:vAlign w:val="center"/>
          </w:tcPr>
          <w:p w14:paraId="65FA97F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970" w:type="pct"/>
            <w:vMerge w:val="continue"/>
            <w:tcBorders>
              <w:top w:val="nil"/>
              <w:bottom w:val="nil"/>
            </w:tcBorders>
            <w:vAlign w:val="center"/>
          </w:tcPr>
          <w:p w14:paraId="29B2012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758" w:type="pct"/>
            <w:vAlign w:val="center"/>
          </w:tcPr>
          <w:p w14:paraId="4036105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林格曼黑</w:t>
            </w:r>
          </w:p>
        </w:tc>
        <w:tc>
          <w:tcPr>
            <w:tcW w:w="561" w:type="pct"/>
            <w:vAlign w:val="center"/>
          </w:tcPr>
          <w:p w14:paraId="1DB17EA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1次/年</w:t>
            </w:r>
          </w:p>
        </w:tc>
        <w:tc>
          <w:tcPr>
            <w:tcW w:w="459" w:type="pct"/>
            <w:vMerge w:val="continue"/>
            <w:vAlign w:val="center"/>
          </w:tcPr>
          <w:p w14:paraId="556B63B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908" w:type="pct"/>
            <w:vAlign w:val="center"/>
          </w:tcPr>
          <w:p w14:paraId="03B4529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w:t>
            </w:r>
          </w:p>
        </w:tc>
      </w:tr>
      <w:tr w14:paraId="66BB0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780" w:type="pct"/>
            <w:vMerge w:val="continue"/>
            <w:vAlign w:val="top"/>
          </w:tcPr>
          <w:p w14:paraId="54BAC09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561" w:type="pct"/>
            <w:vMerge w:val="continue"/>
            <w:tcBorders>
              <w:top w:val="nil"/>
              <w:bottom w:val="single" w:color="auto" w:sz="4" w:space="0"/>
            </w:tcBorders>
            <w:vAlign w:val="center"/>
          </w:tcPr>
          <w:p w14:paraId="45FA4C5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970" w:type="pct"/>
            <w:vMerge w:val="continue"/>
            <w:tcBorders>
              <w:top w:val="nil"/>
              <w:bottom w:val="single" w:color="auto" w:sz="4" w:space="0"/>
            </w:tcBorders>
            <w:vAlign w:val="center"/>
          </w:tcPr>
          <w:p w14:paraId="2EFE5A9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758" w:type="pct"/>
            <w:vAlign w:val="center"/>
          </w:tcPr>
          <w:p w14:paraId="088110A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氮氧化物</w:t>
            </w:r>
          </w:p>
        </w:tc>
        <w:tc>
          <w:tcPr>
            <w:tcW w:w="561" w:type="pct"/>
            <w:vAlign w:val="center"/>
          </w:tcPr>
          <w:p w14:paraId="537E6E1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1次/月</w:t>
            </w:r>
          </w:p>
        </w:tc>
        <w:tc>
          <w:tcPr>
            <w:tcW w:w="459" w:type="pct"/>
            <w:vMerge w:val="continue"/>
            <w:vAlign w:val="center"/>
          </w:tcPr>
          <w:p w14:paraId="439F92D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908" w:type="pct"/>
            <w:vAlign w:val="center"/>
          </w:tcPr>
          <w:p w14:paraId="7ED0815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w:t>
            </w:r>
          </w:p>
        </w:tc>
      </w:tr>
      <w:tr w14:paraId="3E2F8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780" w:type="pct"/>
            <w:vMerge w:val="continue"/>
            <w:vAlign w:val="top"/>
          </w:tcPr>
          <w:p w14:paraId="561F54F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561" w:type="pct"/>
            <w:vMerge w:val="restart"/>
            <w:tcBorders>
              <w:top w:val="single" w:color="auto" w:sz="4" w:space="0"/>
              <w:left w:val="single" w:color="auto" w:sz="4" w:space="0"/>
              <w:bottom w:val="single" w:color="auto" w:sz="4" w:space="0"/>
            </w:tcBorders>
            <w:vAlign w:val="center"/>
          </w:tcPr>
          <w:p w14:paraId="1EFD6340">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DA007</w:t>
            </w:r>
          </w:p>
        </w:tc>
        <w:tc>
          <w:tcPr>
            <w:tcW w:w="970" w:type="pct"/>
            <w:vMerge w:val="restart"/>
            <w:tcBorders>
              <w:top w:val="single" w:color="auto" w:sz="4" w:space="0"/>
              <w:bottom w:val="single" w:color="auto" w:sz="4" w:space="0"/>
              <w:right w:val="single" w:color="auto" w:sz="4" w:space="0"/>
            </w:tcBorders>
            <w:vAlign w:val="center"/>
          </w:tcPr>
          <w:p w14:paraId="6D3631D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天然气蒸汽锅炉废气排放口2</w:t>
            </w:r>
          </w:p>
        </w:tc>
        <w:tc>
          <w:tcPr>
            <w:tcW w:w="758" w:type="pct"/>
            <w:tcBorders>
              <w:left w:val="single" w:color="auto" w:sz="4" w:space="0"/>
            </w:tcBorders>
            <w:vAlign w:val="center"/>
          </w:tcPr>
          <w:p w14:paraId="6AB1975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颗粒物</w:t>
            </w:r>
          </w:p>
        </w:tc>
        <w:tc>
          <w:tcPr>
            <w:tcW w:w="561" w:type="pct"/>
            <w:vAlign w:val="center"/>
          </w:tcPr>
          <w:p w14:paraId="532A057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1次/年</w:t>
            </w:r>
          </w:p>
        </w:tc>
        <w:tc>
          <w:tcPr>
            <w:tcW w:w="459" w:type="pct"/>
            <w:vMerge w:val="restart"/>
            <w:vAlign w:val="center"/>
          </w:tcPr>
          <w:p w14:paraId="324C963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手工监测</w:t>
            </w:r>
          </w:p>
        </w:tc>
        <w:tc>
          <w:tcPr>
            <w:tcW w:w="908" w:type="pct"/>
            <w:vAlign w:val="center"/>
          </w:tcPr>
          <w:p w14:paraId="7BF7B72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w:t>
            </w:r>
          </w:p>
        </w:tc>
      </w:tr>
      <w:tr w14:paraId="27069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780" w:type="pct"/>
            <w:vMerge w:val="continue"/>
            <w:vAlign w:val="top"/>
          </w:tcPr>
          <w:p w14:paraId="5F90881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561" w:type="pct"/>
            <w:vMerge w:val="continue"/>
            <w:tcBorders>
              <w:top w:val="single" w:color="auto" w:sz="4" w:space="0"/>
              <w:left w:val="single" w:color="auto" w:sz="4" w:space="0"/>
              <w:bottom w:val="single" w:color="auto" w:sz="4" w:space="0"/>
            </w:tcBorders>
            <w:vAlign w:val="center"/>
          </w:tcPr>
          <w:p w14:paraId="5B71FC5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970" w:type="pct"/>
            <w:vMerge w:val="continue"/>
            <w:tcBorders>
              <w:top w:val="single" w:color="auto" w:sz="4" w:space="0"/>
              <w:bottom w:val="single" w:color="auto" w:sz="4" w:space="0"/>
              <w:right w:val="single" w:color="auto" w:sz="4" w:space="0"/>
            </w:tcBorders>
            <w:vAlign w:val="center"/>
          </w:tcPr>
          <w:p w14:paraId="037AA06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758" w:type="pct"/>
            <w:tcBorders>
              <w:left w:val="single" w:color="auto" w:sz="4" w:space="0"/>
            </w:tcBorders>
            <w:vAlign w:val="center"/>
          </w:tcPr>
          <w:p w14:paraId="7B32F79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二氧化硫</w:t>
            </w:r>
          </w:p>
        </w:tc>
        <w:tc>
          <w:tcPr>
            <w:tcW w:w="561" w:type="pct"/>
            <w:vAlign w:val="center"/>
          </w:tcPr>
          <w:p w14:paraId="2062426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1次/年</w:t>
            </w:r>
          </w:p>
        </w:tc>
        <w:tc>
          <w:tcPr>
            <w:tcW w:w="459" w:type="pct"/>
            <w:vMerge w:val="continue"/>
            <w:vAlign w:val="center"/>
          </w:tcPr>
          <w:p w14:paraId="4885C81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908" w:type="pct"/>
            <w:vAlign w:val="center"/>
          </w:tcPr>
          <w:p w14:paraId="3EAEE8B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w:t>
            </w:r>
          </w:p>
        </w:tc>
      </w:tr>
      <w:tr w14:paraId="3BBED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780" w:type="pct"/>
            <w:vMerge w:val="continue"/>
            <w:vAlign w:val="top"/>
          </w:tcPr>
          <w:p w14:paraId="0776065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561" w:type="pct"/>
            <w:vMerge w:val="continue"/>
            <w:tcBorders>
              <w:top w:val="single" w:color="auto" w:sz="4" w:space="0"/>
              <w:left w:val="single" w:color="auto" w:sz="4" w:space="0"/>
              <w:bottom w:val="single" w:color="auto" w:sz="4" w:space="0"/>
            </w:tcBorders>
            <w:vAlign w:val="center"/>
          </w:tcPr>
          <w:p w14:paraId="6C5ACAB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970" w:type="pct"/>
            <w:vMerge w:val="continue"/>
            <w:tcBorders>
              <w:top w:val="single" w:color="auto" w:sz="4" w:space="0"/>
              <w:bottom w:val="single" w:color="auto" w:sz="4" w:space="0"/>
              <w:right w:val="single" w:color="auto" w:sz="4" w:space="0"/>
            </w:tcBorders>
            <w:vAlign w:val="center"/>
          </w:tcPr>
          <w:p w14:paraId="2F8A570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758" w:type="pct"/>
            <w:tcBorders>
              <w:left w:val="single" w:color="auto" w:sz="4" w:space="0"/>
            </w:tcBorders>
            <w:vAlign w:val="center"/>
          </w:tcPr>
          <w:p w14:paraId="49998EC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林格曼黑</w:t>
            </w:r>
          </w:p>
        </w:tc>
        <w:tc>
          <w:tcPr>
            <w:tcW w:w="561" w:type="pct"/>
            <w:vAlign w:val="center"/>
          </w:tcPr>
          <w:p w14:paraId="715091F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1次/年</w:t>
            </w:r>
          </w:p>
        </w:tc>
        <w:tc>
          <w:tcPr>
            <w:tcW w:w="459" w:type="pct"/>
            <w:vMerge w:val="continue"/>
            <w:vAlign w:val="center"/>
          </w:tcPr>
          <w:p w14:paraId="173C656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908" w:type="pct"/>
            <w:vAlign w:val="center"/>
          </w:tcPr>
          <w:p w14:paraId="1EFD16A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w:t>
            </w:r>
          </w:p>
        </w:tc>
      </w:tr>
      <w:tr w14:paraId="10B71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jc w:val="center"/>
        </w:trPr>
        <w:tc>
          <w:tcPr>
            <w:tcW w:w="780" w:type="pct"/>
            <w:vMerge w:val="continue"/>
            <w:vAlign w:val="top"/>
          </w:tcPr>
          <w:p w14:paraId="30239E9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561" w:type="pct"/>
            <w:vMerge w:val="continue"/>
            <w:tcBorders>
              <w:top w:val="single" w:color="auto" w:sz="4" w:space="0"/>
              <w:left w:val="single" w:color="auto" w:sz="4" w:space="0"/>
              <w:bottom w:val="single" w:color="auto" w:sz="4" w:space="0"/>
            </w:tcBorders>
            <w:vAlign w:val="center"/>
          </w:tcPr>
          <w:p w14:paraId="630A6A1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970" w:type="pct"/>
            <w:vMerge w:val="continue"/>
            <w:tcBorders>
              <w:top w:val="single" w:color="auto" w:sz="4" w:space="0"/>
              <w:bottom w:val="single" w:color="auto" w:sz="4" w:space="0"/>
              <w:right w:val="single" w:color="auto" w:sz="4" w:space="0"/>
            </w:tcBorders>
            <w:vAlign w:val="center"/>
          </w:tcPr>
          <w:p w14:paraId="2D2C2570">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758" w:type="pct"/>
            <w:tcBorders>
              <w:left w:val="single" w:color="auto" w:sz="4" w:space="0"/>
            </w:tcBorders>
            <w:vAlign w:val="center"/>
          </w:tcPr>
          <w:p w14:paraId="0B67649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氮氧化物</w:t>
            </w:r>
          </w:p>
        </w:tc>
        <w:tc>
          <w:tcPr>
            <w:tcW w:w="561" w:type="pct"/>
            <w:vAlign w:val="center"/>
          </w:tcPr>
          <w:p w14:paraId="1AF032C0">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1次/月</w:t>
            </w:r>
          </w:p>
        </w:tc>
        <w:tc>
          <w:tcPr>
            <w:tcW w:w="459" w:type="pct"/>
            <w:vMerge w:val="continue"/>
            <w:vAlign w:val="center"/>
          </w:tcPr>
          <w:p w14:paraId="6C74160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908" w:type="pct"/>
            <w:vAlign w:val="center"/>
          </w:tcPr>
          <w:p w14:paraId="531DFE0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w:t>
            </w:r>
          </w:p>
        </w:tc>
      </w:tr>
      <w:tr w14:paraId="76533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jc w:val="center"/>
        </w:trPr>
        <w:tc>
          <w:tcPr>
            <w:tcW w:w="780" w:type="pct"/>
            <w:vMerge w:val="continue"/>
            <w:vAlign w:val="top"/>
          </w:tcPr>
          <w:p w14:paraId="2E89E33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561" w:type="pct"/>
            <w:vMerge w:val="restart"/>
            <w:tcBorders>
              <w:top w:val="single" w:color="auto" w:sz="4" w:space="0"/>
              <w:bottom w:val="single" w:color="auto" w:sz="4" w:space="0"/>
            </w:tcBorders>
            <w:vAlign w:val="center"/>
          </w:tcPr>
          <w:p w14:paraId="17E9FFA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DA008</w:t>
            </w:r>
          </w:p>
        </w:tc>
        <w:tc>
          <w:tcPr>
            <w:tcW w:w="970" w:type="pct"/>
            <w:vMerge w:val="restart"/>
            <w:tcBorders>
              <w:top w:val="single" w:color="auto" w:sz="4" w:space="0"/>
              <w:bottom w:val="single" w:color="auto" w:sz="4" w:space="0"/>
            </w:tcBorders>
            <w:vAlign w:val="center"/>
          </w:tcPr>
          <w:p w14:paraId="377C470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天然气蒸汽锅炉废气排放口3</w:t>
            </w:r>
          </w:p>
        </w:tc>
        <w:tc>
          <w:tcPr>
            <w:tcW w:w="758" w:type="pct"/>
            <w:vAlign w:val="center"/>
          </w:tcPr>
          <w:p w14:paraId="7CC5C21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颗粒物</w:t>
            </w:r>
          </w:p>
        </w:tc>
        <w:tc>
          <w:tcPr>
            <w:tcW w:w="561" w:type="pct"/>
            <w:vAlign w:val="center"/>
          </w:tcPr>
          <w:p w14:paraId="2C7E311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1次/年</w:t>
            </w:r>
          </w:p>
        </w:tc>
        <w:tc>
          <w:tcPr>
            <w:tcW w:w="459" w:type="pct"/>
            <w:vMerge w:val="restart"/>
            <w:vAlign w:val="center"/>
          </w:tcPr>
          <w:p w14:paraId="4612D34D">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手工监测</w:t>
            </w:r>
          </w:p>
        </w:tc>
        <w:tc>
          <w:tcPr>
            <w:tcW w:w="908" w:type="pct"/>
            <w:vAlign w:val="center"/>
          </w:tcPr>
          <w:p w14:paraId="625B819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w:t>
            </w:r>
          </w:p>
        </w:tc>
      </w:tr>
      <w:tr w14:paraId="3F13D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jc w:val="center"/>
        </w:trPr>
        <w:tc>
          <w:tcPr>
            <w:tcW w:w="780" w:type="pct"/>
            <w:vMerge w:val="continue"/>
            <w:vAlign w:val="top"/>
          </w:tcPr>
          <w:p w14:paraId="349399B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561" w:type="pct"/>
            <w:vMerge w:val="continue"/>
            <w:tcBorders>
              <w:top w:val="single" w:color="auto" w:sz="4" w:space="0"/>
              <w:bottom w:val="single" w:color="auto" w:sz="4" w:space="0"/>
            </w:tcBorders>
            <w:vAlign w:val="center"/>
          </w:tcPr>
          <w:p w14:paraId="3587FEB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970" w:type="pct"/>
            <w:vMerge w:val="continue"/>
            <w:tcBorders>
              <w:top w:val="single" w:color="auto" w:sz="4" w:space="0"/>
              <w:bottom w:val="single" w:color="auto" w:sz="4" w:space="0"/>
            </w:tcBorders>
            <w:vAlign w:val="center"/>
          </w:tcPr>
          <w:p w14:paraId="3ACB9010">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758" w:type="pct"/>
            <w:vAlign w:val="center"/>
          </w:tcPr>
          <w:p w14:paraId="57590A0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二氧化硫</w:t>
            </w:r>
          </w:p>
        </w:tc>
        <w:tc>
          <w:tcPr>
            <w:tcW w:w="561" w:type="pct"/>
            <w:vAlign w:val="center"/>
          </w:tcPr>
          <w:p w14:paraId="6E32334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1次/年</w:t>
            </w:r>
          </w:p>
        </w:tc>
        <w:tc>
          <w:tcPr>
            <w:tcW w:w="459" w:type="pct"/>
            <w:vMerge w:val="continue"/>
            <w:vAlign w:val="center"/>
          </w:tcPr>
          <w:p w14:paraId="18A9792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908" w:type="pct"/>
            <w:vAlign w:val="center"/>
          </w:tcPr>
          <w:p w14:paraId="1590F83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w:t>
            </w:r>
          </w:p>
        </w:tc>
      </w:tr>
      <w:tr w14:paraId="647E5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jc w:val="center"/>
        </w:trPr>
        <w:tc>
          <w:tcPr>
            <w:tcW w:w="780" w:type="pct"/>
            <w:vMerge w:val="continue"/>
            <w:vAlign w:val="top"/>
          </w:tcPr>
          <w:p w14:paraId="31C70C7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561" w:type="pct"/>
            <w:vMerge w:val="continue"/>
            <w:tcBorders>
              <w:top w:val="single" w:color="auto" w:sz="4" w:space="0"/>
              <w:bottom w:val="single" w:color="auto" w:sz="4" w:space="0"/>
            </w:tcBorders>
            <w:vAlign w:val="center"/>
          </w:tcPr>
          <w:p w14:paraId="670EFE1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970" w:type="pct"/>
            <w:vMerge w:val="continue"/>
            <w:tcBorders>
              <w:top w:val="single" w:color="auto" w:sz="4" w:space="0"/>
              <w:bottom w:val="single" w:color="auto" w:sz="4" w:space="0"/>
            </w:tcBorders>
            <w:vAlign w:val="center"/>
          </w:tcPr>
          <w:p w14:paraId="54438C7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758" w:type="pct"/>
            <w:vAlign w:val="center"/>
          </w:tcPr>
          <w:p w14:paraId="1FF71AE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林格曼黑</w:t>
            </w:r>
          </w:p>
        </w:tc>
        <w:tc>
          <w:tcPr>
            <w:tcW w:w="561" w:type="pct"/>
            <w:vAlign w:val="center"/>
          </w:tcPr>
          <w:p w14:paraId="7C838E1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1次/年</w:t>
            </w:r>
          </w:p>
        </w:tc>
        <w:tc>
          <w:tcPr>
            <w:tcW w:w="459" w:type="pct"/>
            <w:vMerge w:val="continue"/>
            <w:vAlign w:val="center"/>
          </w:tcPr>
          <w:p w14:paraId="3E1AB85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908" w:type="pct"/>
            <w:vAlign w:val="center"/>
          </w:tcPr>
          <w:p w14:paraId="6BE4A82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w:t>
            </w:r>
          </w:p>
        </w:tc>
      </w:tr>
      <w:tr w14:paraId="760D8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jc w:val="center"/>
        </w:trPr>
        <w:tc>
          <w:tcPr>
            <w:tcW w:w="780" w:type="pct"/>
            <w:vMerge w:val="continue"/>
            <w:vAlign w:val="top"/>
          </w:tcPr>
          <w:p w14:paraId="4B8C0A1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561" w:type="pct"/>
            <w:vMerge w:val="continue"/>
            <w:tcBorders>
              <w:top w:val="single" w:color="auto" w:sz="4" w:space="0"/>
              <w:bottom w:val="single" w:color="auto" w:sz="4" w:space="0"/>
            </w:tcBorders>
            <w:vAlign w:val="center"/>
          </w:tcPr>
          <w:p w14:paraId="6F90267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970" w:type="pct"/>
            <w:vMerge w:val="continue"/>
            <w:tcBorders>
              <w:top w:val="single" w:color="auto" w:sz="4" w:space="0"/>
              <w:bottom w:val="single" w:color="auto" w:sz="4" w:space="0"/>
            </w:tcBorders>
            <w:vAlign w:val="center"/>
          </w:tcPr>
          <w:p w14:paraId="27554CA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758" w:type="pct"/>
            <w:vAlign w:val="center"/>
          </w:tcPr>
          <w:p w14:paraId="7286B74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氮氧化物</w:t>
            </w:r>
          </w:p>
        </w:tc>
        <w:tc>
          <w:tcPr>
            <w:tcW w:w="561" w:type="pct"/>
            <w:vAlign w:val="center"/>
          </w:tcPr>
          <w:p w14:paraId="3378339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1次/月</w:t>
            </w:r>
          </w:p>
        </w:tc>
        <w:tc>
          <w:tcPr>
            <w:tcW w:w="459" w:type="pct"/>
            <w:vMerge w:val="continue"/>
            <w:vAlign w:val="center"/>
          </w:tcPr>
          <w:p w14:paraId="6487618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908" w:type="pct"/>
            <w:vAlign w:val="center"/>
          </w:tcPr>
          <w:p w14:paraId="5506495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w:t>
            </w:r>
          </w:p>
        </w:tc>
      </w:tr>
      <w:tr w14:paraId="58704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jc w:val="center"/>
        </w:trPr>
        <w:tc>
          <w:tcPr>
            <w:tcW w:w="780" w:type="pct"/>
            <w:vMerge w:val="continue"/>
            <w:vAlign w:val="top"/>
          </w:tcPr>
          <w:p w14:paraId="61CB50B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561" w:type="pct"/>
            <w:vMerge w:val="restart"/>
            <w:tcBorders>
              <w:top w:val="single" w:color="auto" w:sz="4" w:space="0"/>
            </w:tcBorders>
            <w:vAlign w:val="center"/>
          </w:tcPr>
          <w:p w14:paraId="544F707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DA005</w:t>
            </w:r>
          </w:p>
        </w:tc>
        <w:tc>
          <w:tcPr>
            <w:tcW w:w="970" w:type="pct"/>
            <w:vMerge w:val="restart"/>
            <w:tcBorders>
              <w:top w:val="single" w:color="auto" w:sz="4" w:space="0"/>
            </w:tcBorders>
            <w:vAlign w:val="center"/>
          </w:tcPr>
          <w:p w14:paraId="3810E15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污水处理站废气排放口</w:t>
            </w:r>
          </w:p>
        </w:tc>
        <w:tc>
          <w:tcPr>
            <w:tcW w:w="758" w:type="pct"/>
            <w:vAlign w:val="center"/>
          </w:tcPr>
          <w:p w14:paraId="38485EA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硫化氢</w:t>
            </w:r>
          </w:p>
        </w:tc>
        <w:tc>
          <w:tcPr>
            <w:tcW w:w="561" w:type="pct"/>
            <w:vMerge w:val="restart"/>
            <w:vAlign w:val="center"/>
          </w:tcPr>
          <w:p w14:paraId="59FA5BB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1次/季</w:t>
            </w:r>
          </w:p>
        </w:tc>
        <w:tc>
          <w:tcPr>
            <w:tcW w:w="459" w:type="pct"/>
            <w:vMerge w:val="restart"/>
            <w:vAlign w:val="center"/>
          </w:tcPr>
          <w:p w14:paraId="199D8490">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手工监测</w:t>
            </w:r>
          </w:p>
        </w:tc>
        <w:tc>
          <w:tcPr>
            <w:tcW w:w="908" w:type="pct"/>
            <w:vMerge w:val="restart"/>
            <w:vAlign w:val="center"/>
          </w:tcPr>
          <w:p w14:paraId="140DCDC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w:t>
            </w:r>
          </w:p>
        </w:tc>
      </w:tr>
      <w:tr w14:paraId="1BE01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jc w:val="center"/>
        </w:trPr>
        <w:tc>
          <w:tcPr>
            <w:tcW w:w="780" w:type="pct"/>
            <w:vMerge w:val="continue"/>
            <w:vAlign w:val="top"/>
          </w:tcPr>
          <w:p w14:paraId="56FF3617">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仿宋" w:hAnsi="仿宋" w:eastAsia="仿宋" w:cs="仿宋"/>
                <w:b w:val="0"/>
                <w:bCs w:val="0"/>
                <w:sz w:val="21"/>
                <w:szCs w:val="21"/>
                <w:u w:val="none"/>
              </w:rPr>
            </w:pPr>
          </w:p>
        </w:tc>
        <w:tc>
          <w:tcPr>
            <w:tcW w:w="561" w:type="pct"/>
            <w:vMerge w:val="continue"/>
            <w:vAlign w:val="center"/>
          </w:tcPr>
          <w:p w14:paraId="014B967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1"/>
                <w:sz w:val="21"/>
                <w:szCs w:val="21"/>
                <w:u w:val="none"/>
              </w:rPr>
            </w:pPr>
          </w:p>
        </w:tc>
        <w:tc>
          <w:tcPr>
            <w:tcW w:w="970" w:type="pct"/>
            <w:vMerge w:val="continue"/>
            <w:vAlign w:val="center"/>
          </w:tcPr>
          <w:p w14:paraId="3D94B1A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1"/>
                <w:sz w:val="21"/>
                <w:szCs w:val="21"/>
                <w:u w:val="none"/>
              </w:rPr>
            </w:pPr>
          </w:p>
        </w:tc>
        <w:tc>
          <w:tcPr>
            <w:tcW w:w="758" w:type="pct"/>
            <w:vAlign w:val="center"/>
          </w:tcPr>
          <w:p w14:paraId="5F174A2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2"/>
                <w:sz w:val="21"/>
                <w:szCs w:val="21"/>
                <w:u w:val="none"/>
                <w:lang w:val="en-US" w:eastAsia="zh-CN"/>
              </w:rPr>
            </w:pPr>
            <w:r>
              <w:rPr>
                <w:rFonts w:hint="eastAsia" w:ascii="仿宋" w:hAnsi="仿宋" w:eastAsia="仿宋" w:cs="仿宋"/>
                <w:b w:val="0"/>
                <w:bCs w:val="0"/>
                <w:spacing w:val="-2"/>
                <w:sz w:val="21"/>
                <w:szCs w:val="21"/>
                <w:u w:val="none"/>
                <w:lang w:val="en-US" w:eastAsia="zh-CN"/>
              </w:rPr>
              <w:t>氨气</w:t>
            </w:r>
          </w:p>
        </w:tc>
        <w:tc>
          <w:tcPr>
            <w:tcW w:w="561" w:type="pct"/>
            <w:vMerge w:val="continue"/>
            <w:vAlign w:val="center"/>
          </w:tcPr>
          <w:p w14:paraId="3850D42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10"/>
                <w:sz w:val="21"/>
                <w:szCs w:val="21"/>
                <w:u w:val="none"/>
              </w:rPr>
            </w:pPr>
          </w:p>
        </w:tc>
        <w:tc>
          <w:tcPr>
            <w:tcW w:w="459" w:type="pct"/>
            <w:vMerge w:val="continue"/>
            <w:vAlign w:val="center"/>
          </w:tcPr>
          <w:p w14:paraId="4FDB3D5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4"/>
                <w:sz w:val="21"/>
                <w:szCs w:val="21"/>
                <w:u w:val="none"/>
              </w:rPr>
            </w:pPr>
          </w:p>
        </w:tc>
        <w:tc>
          <w:tcPr>
            <w:tcW w:w="908" w:type="pct"/>
            <w:vMerge w:val="continue"/>
            <w:vAlign w:val="center"/>
          </w:tcPr>
          <w:p w14:paraId="1E44DDAD">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z w:val="21"/>
                <w:szCs w:val="21"/>
                <w:u w:val="none"/>
              </w:rPr>
            </w:pPr>
          </w:p>
        </w:tc>
      </w:tr>
      <w:tr w14:paraId="2534C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jc w:val="center"/>
        </w:trPr>
        <w:tc>
          <w:tcPr>
            <w:tcW w:w="780" w:type="pct"/>
            <w:vMerge w:val="continue"/>
            <w:vAlign w:val="top"/>
          </w:tcPr>
          <w:p w14:paraId="25C436F8">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仿宋" w:hAnsi="仿宋" w:eastAsia="仿宋" w:cs="仿宋"/>
                <w:b w:val="0"/>
                <w:bCs w:val="0"/>
                <w:sz w:val="21"/>
                <w:szCs w:val="21"/>
                <w:u w:val="none"/>
              </w:rPr>
            </w:pPr>
          </w:p>
        </w:tc>
        <w:tc>
          <w:tcPr>
            <w:tcW w:w="561" w:type="pct"/>
            <w:vMerge w:val="continue"/>
            <w:tcBorders>
              <w:bottom w:val="single" w:color="auto" w:sz="4" w:space="0"/>
            </w:tcBorders>
            <w:vAlign w:val="center"/>
          </w:tcPr>
          <w:p w14:paraId="5F786DD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1"/>
                <w:sz w:val="21"/>
                <w:szCs w:val="21"/>
                <w:u w:val="none"/>
              </w:rPr>
            </w:pPr>
          </w:p>
        </w:tc>
        <w:tc>
          <w:tcPr>
            <w:tcW w:w="970" w:type="pct"/>
            <w:vMerge w:val="continue"/>
            <w:tcBorders>
              <w:bottom w:val="single" w:color="auto" w:sz="4" w:space="0"/>
            </w:tcBorders>
            <w:vAlign w:val="center"/>
          </w:tcPr>
          <w:p w14:paraId="1B5D8B7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1"/>
                <w:sz w:val="21"/>
                <w:szCs w:val="21"/>
                <w:u w:val="none"/>
              </w:rPr>
            </w:pPr>
          </w:p>
        </w:tc>
        <w:tc>
          <w:tcPr>
            <w:tcW w:w="758" w:type="pct"/>
            <w:vAlign w:val="center"/>
          </w:tcPr>
          <w:p w14:paraId="3B2656B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2"/>
                <w:sz w:val="21"/>
                <w:szCs w:val="21"/>
                <w:u w:val="none"/>
                <w:lang w:val="en-US" w:eastAsia="zh-CN"/>
              </w:rPr>
            </w:pPr>
            <w:r>
              <w:rPr>
                <w:rFonts w:hint="eastAsia" w:ascii="仿宋" w:hAnsi="仿宋" w:eastAsia="仿宋" w:cs="仿宋"/>
                <w:b w:val="0"/>
                <w:bCs w:val="0"/>
                <w:spacing w:val="-2"/>
                <w:sz w:val="21"/>
                <w:szCs w:val="21"/>
                <w:u w:val="none"/>
                <w:lang w:val="en-US" w:eastAsia="zh-CN"/>
              </w:rPr>
              <w:t>臭气浓度</w:t>
            </w:r>
          </w:p>
        </w:tc>
        <w:tc>
          <w:tcPr>
            <w:tcW w:w="561" w:type="pct"/>
            <w:vMerge w:val="continue"/>
            <w:vAlign w:val="center"/>
          </w:tcPr>
          <w:p w14:paraId="2B1D1ED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10"/>
                <w:sz w:val="21"/>
                <w:szCs w:val="21"/>
                <w:u w:val="none"/>
              </w:rPr>
            </w:pPr>
          </w:p>
        </w:tc>
        <w:tc>
          <w:tcPr>
            <w:tcW w:w="459" w:type="pct"/>
            <w:vMerge w:val="continue"/>
            <w:vAlign w:val="center"/>
          </w:tcPr>
          <w:p w14:paraId="1709EF6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4"/>
                <w:sz w:val="21"/>
                <w:szCs w:val="21"/>
                <w:u w:val="none"/>
              </w:rPr>
            </w:pPr>
          </w:p>
        </w:tc>
        <w:tc>
          <w:tcPr>
            <w:tcW w:w="908" w:type="pct"/>
            <w:vMerge w:val="continue"/>
            <w:vAlign w:val="center"/>
          </w:tcPr>
          <w:p w14:paraId="3C61638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z w:val="21"/>
                <w:szCs w:val="21"/>
                <w:u w:val="none"/>
              </w:rPr>
            </w:pPr>
          </w:p>
        </w:tc>
      </w:tr>
    </w:tbl>
    <w:p w14:paraId="566C535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b w:val="0"/>
          <w:bCs w:val="0"/>
          <w:snapToGrid w:val="0"/>
          <w:color w:val="000000"/>
          <w:spacing w:val="15"/>
          <w:kern w:val="0"/>
          <w:sz w:val="18"/>
          <w:szCs w:val="18"/>
          <w:u w:val="none"/>
          <w:lang w:val="en-US" w:eastAsia="zh-CN" w:bidi="ar-SA"/>
        </w:rPr>
      </w:pPr>
      <w:r>
        <w:rPr>
          <w:rFonts w:hint="eastAsia" w:ascii="仿宋" w:hAnsi="仿宋" w:eastAsia="仿宋" w:cs="仿宋"/>
          <w:b w:val="0"/>
          <w:bCs w:val="0"/>
          <w:snapToGrid w:val="0"/>
          <w:color w:val="000000"/>
          <w:spacing w:val="15"/>
          <w:kern w:val="0"/>
          <w:sz w:val="18"/>
          <w:szCs w:val="18"/>
          <w:u w:val="none"/>
          <w:lang w:val="en-US" w:eastAsia="zh-CN" w:bidi="ar-SA"/>
        </w:rPr>
        <w:t>注：废气监测内容包含烟气温度、烟气压力、烟气流速、烟气含湿量、烟道截面积等</w:t>
      </w:r>
    </w:p>
    <w:p w14:paraId="03E4538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15"/>
          <w:sz w:val="24"/>
          <w:szCs w:val="24"/>
          <w:u w:val="none"/>
          <w:lang w:val="en-US" w:eastAsia="zh-CN"/>
        </w:rPr>
      </w:pPr>
      <w:r>
        <w:rPr>
          <w:rFonts w:hint="eastAsia" w:ascii="仿宋" w:hAnsi="仿宋" w:eastAsia="仿宋" w:cs="仿宋"/>
          <w:b w:val="0"/>
          <w:bCs w:val="0"/>
          <w:spacing w:val="15"/>
          <w:sz w:val="24"/>
          <w:szCs w:val="24"/>
          <w:u w:val="none"/>
          <w:lang w:val="en-US" w:eastAsia="zh-CN"/>
        </w:rPr>
        <w:t>2、废气有组织排放监测方法及依据情况见表2。</w:t>
      </w:r>
    </w:p>
    <w:p w14:paraId="7C39C027">
      <w:pPr>
        <w:spacing w:before="149" w:line="219" w:lineRule="auto"/>
        <w:jc w:val="center"/>
        <w:rPr>
          <w:rFonts w:hint="eastAsia" w:ascii="仿宋" w:hAnsi="仿宋" w:eastAsia="仿宋" w:cs="仿宋"/>
          <w:b w:val="0"/>
          <w:bCs w:val="0"/>
          <w:snapToGrid w:val="0"/>
          <w:color w:val="000000"/>
          <w:spacing w:val="0"/>
          <w:kern w:val="0"/>
          <w:position w:val="0"/>
          <w:sz w:val="24"/>
          <w:szCs w:val="24"/>
          <w:u w:val="none"/>
          <w:lang w:val="en-US" w:eastAsia="zh-CN" w:bidi="ar-SA"/>
        </w:rPr>
      </w:pPr>
      <w:r>
        <w:rPr>
          <w:rFonts w:hint="eastAsia" w:ascii="仿宋" w:hAnsi="仿宋" w:eastAsia="仿宋" w:cs="仿宋"/>
          <w:b w:val="0"/>
          <w:bCs w:val="0"/>
          <w:snapToGrid w:val="0"/>
          <w:color w:val="000000"/>
          <w:spacing w:val="0"/>
          <w:kern w:val="0"/>
          <w:position w:val="0"/>
          <w:sz w:val="24"/>
          <w:szCs w:val="24"/>
          <w:u w:val="none"/>
          <w:lang w:val="en-US" w:eastAsia="zh-CN" w:bidi="ar-SA"/>
        </w:rPr>
        <w:t>表2 废气有组织排放手工监测方法及依据一览表</w:t>
      </w:r>
    </w:p>
    <w:p w14:paraId="6EE7C271">
      <w:pPr>
        <w:spacing w:line="44" w:lineRule="exact"/>
        <w:rPr>
          <w:rFonts w:hint="eastAsia" w:ascii="仿宋" w:hAnsi="仿宋" w:eastAsia="仿宋" w:cs="仿宋"/>
          <w:b w:val="0"/>
          <w:bCs w:val="0"/>
          <w:u w:val="none"/>
        </w:rPr>
      </w:pPr>
    </w:p>
    <w:tbl>
      <w:tblPr>
        <w:tblStyle w:val="31"/>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1607"/>
        <w:gridCol w:w="4327"/>
        <w:gridCol w:w="2316"/>
      </w:tblGrid>
      <w:tr w14:paraId="14CC0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714" w:type="dxa"/>
            <w:vAlign w:val="center"/>
          </w:tcPr>
          <w:p w14:paraId="193BC51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z w:val="21"/>
                <w:szCs w:val="21"/>
                <w:u w:val="none"/>
              </w:rPr>
            </w:pPr>
            <w:r>
              <w:rPr>
                <w:rFonts w:hint="eastAsia" w:ascii="仿宋" w:hAnsi="仿宋" w:eastAsia="仿宋" w:cs="仿宋"/>
                <w:b w:val="0"/>
                <w:bCs w:val="0"/>
                <w:spacing w:val="7"/>
                <w:sz w:val="21"/>
                <w:szCs w:val="21"/>
                <w:u w:val="none"/>
              </w:rPr>
              <w:t>序号</w:t>
            </w:r>
          </w:p>
        </w:tc>
        <w:tc>
          <w:tcPr>
            <w:tcW w:w="1398" w:type="dxa"/>
            <w:vAlign w:val="center"/>
          </w:tcPr>
          <w:p w14:paraId="097C259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z w:val="21"/>
                <w:szCs w:val="21"/>
                <w:u w:val="none"/>
              </w:rPr>
            </w:pPr>
            <w:r>
              <w:rPr>
                <w:rFonts w:hint="eastAsia" w:ascii="仿宋" w:hAnsi="仿宋" w:eastAsia="仿宋" w:cs="仿宋"/>
                <w:b w:val="0"/>
                <w:bCs w:val="0"/>
                <w:spacing w:val="10"/>
                <w:sz w:val="21"/>
                <w:szCs w:val="21"/>
                <w:u w:val="none"/>
              </w:rPr>
              <w:t>监测项目</w:t>
            </w:r>
          </w:p>
        </w:tc>
        <w:tc>
          <w:tcPr>
            <w:tcW w:w="3764" w:type="dxa"/>
            <w:vAlign w:val="center"/>
          </w:tcPr>
          <w:p w14:paraId="5A13C6E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z w:val="21"/>
                <w:szCs w:val="21"/>
                <w:u w:val="none"/>
              </w:rPr>
            </w:pPr>
            <w:r>
              <w:rPr>
                <w:rFonts w:hint="eastAsia" w:ascii="仿宋" w:hAnsi="仿宋" w:eastAsia="仿宋" w:cs="仿宋"/>
                <w:b w:val="0"/>
                <w:bCs w:val="0"/>
                <w:spacing w:val="1"/>
                <w:sz w:val="21"/>
                <w:szCs w:val="21"/>
                <w:u w:val="none"/>
              </w:rPr>
              <w:t>监测方法及依据</w:t>
            </w:r>
          </w:p>
        </w:tc>
        <w:tc>
          <w:tcPr>
            <w:tcW w:w="2014" w:type="dxa"/>
            <w:vAlign w:val="center"/>
          </w:tcPr>
          <w:p w14:paraId="6259A23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z w:val="21"/>
                <w:szCs w:val="21"/>
                <w:u w:val="none"/>
              </w:rPr>
            </w:pPr>
            <w:r>
              <w:rPr>
                <w:rFonts w:hint="eastAsia" w:ascii="仿宋" w:hAnsi="仿宋" w:eastAsia="仿宋" w:cs="仿宋"/>
                <w:b w:val="0"/>
                <w:bCs w:val="0"/>
                <w:spacing w:val="5"/>
                <w:sz w:val="21"/>
                <w:szCs w:val="21"/>
                <w:u w:val="none"/>
              </w:rPr>
              <w:t>备注</w:t>
            </w:r>
          </w:p>
        </w:tc>
      </w:tr>
      <w:tr w14:paraId="595CB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jc w:val="center"/>
        </w:trPr>
        <w:tc>
          <w:tcPr>
            <w:tcW w:w="714" w:type="dxa"/>
            <w:vAlign w:val="center"/>
          </w:tcPr>
          <w:p w14:paraId="00B7180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1</w:t>
            </w:r>
          </w:p>
        </w:tc>
        <w:tc>
          <w:tcPr>
            <w:tcW w:w="1398" w:type="dxa"/>
            <w:vAlign w:val="center"/>
          </w:tcPr>
          <w:p w14:paraId="531A468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氮氧化物</w:t>
            </w:r>
          </w:p>
        </w:tc>
        <w:tc>
          <w:tcPr>
            <w:tcW w:w="3764" w:type="dxa"/>
            <w:vAlign w:val="center"/>
          </w:tcPr>
          <w:p w14:paraId="5983F81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《固定污染源废气氮氧化物的测定定电位电解法》HJ693-2014</w:t>
            </w:r>
          </w:p>
        </w:tc>
        <w:tc>
          <w:tcPr>
            <w:tcW w:w="2014" w:type="dxa"/>
            <w:vAlign w:val="center"/>
          </w:tcPr>
          <w:p w14:paraId="152D49D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第三方检测</w:t>
            </w:r>
          </w:p>
        </w:tc>
      </w:tr>
      <w:tr w14:paraId="6C54F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714" w:type="dxa"/>
            <w:vAlign w:val="center"/>
          </w:tcPr>
          <w:p w14:paraId="0E28E69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2</w:t>
            </w:r>
          </w:p>
        </w:tc>
        <w:tc>
          <w:tcPr>
            <w:tcW w:w="1398" w:type="dxa"/>
            <w:vAlign w:val="center"/>
          </w:tcPr>
          <w:p w14:paraId="693D87D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二氧化硫</w:t>
            </w:r>
          </w:p>
        </w:tc>
        <w:tc>
          <w:tcPr>
            <w:tcW w:w="3764" w:type="dxa"/>
            <w:vAlign w:val="center"/>
          </w:tcPr>
          <w:p w14:paraId="3E4AD5D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《固定污染源废气二氧化硫的测定定电位电解法》HJ57-2017</w:t>
            </w:r>
          </w:p>
        </w:tc>
        <w:tc>
          <w:tcPr>
            <w:tcW w:w="2014" w:type="dxa"/>
            <w:vAlign w:val="center"/>
          </w:tcPr>
          <w:p w14:paraId="37F62F6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第三方检测</w:t>
            </w:r>
          </w:p>
        </w:tc>
      </w:tr>
      <w:tr w14:paraId="76BA4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714" w:type="dxa"/>
            <w:vAlign w:val="center"/>
          </w:tcPr>
          <w:p w14:paraId="7660CFE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3</w:t>
            </w:r>
          </w:p>
        </w:tc>
        <w:tc>
          <w:tcPr>
            <w:tcW w:w="1398" w:type="dxa"/>
            <w:vAlign w:val="center"/>
          </w:tcPr>
          <w:p w14:paraId="2FCFE49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颗粒物</w:t>
            </w:r>
          </w:p>
        </w:tc>
        <w:tc>
          <w:tcPr>
            <w:tcW w:w="3764" w:type="dxa"/>
            <w:vAlign w:val="center"/>
          </w:tcPr>
          <w:p w14:paraId="1FD39DC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《固定污染源废气低浓度颗粒物的测定重量法》HJ836-2017</w:t>
            </w:r>
          </w:p>
        </w:tc>
        <w:tc>
          <w:tcPr>
            <w:tcW w:w="2014" w:type="dxa"/>
            <w:vAlign w:val="center"/>
          </w:tcPr>
          <w:p w14:paraId="753B22B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第三方检测</w:t>
            </w:r>
          </w:p>
        </w:tc>
      </w:tr>
      <w:tr w14:paraId="40DFD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jc w:val="center"/>
        </w:trPr>
        <w:tc>
          <w:tcPr>
            <w:tcW w:w="714" w:type="dxa"/>
            <w:vAlign w:val="center"/>
          </w:tcPr>
          <w:p w14:paraId="5895941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4</w:t>
            </w:r>
          </w:p>
        </w:tc>
        <w:tc>
          <w:tcPr>
            <w:tcW w:w="1398" w:type="dxa"/>
            <w:vAlign w:val="center"/>
          </w:tcPr>
          <w:p w14:paraId="429BCFD0">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林格曼黑度</w:t>
            </w:r>
          </w:p>
        </w:tc>
        <w:tc>
          <w:tcPr>
            <w:tcW w:w="3764" w:type="dxa"/>
            <w:vAlign w:val="center"/>
          </w:tcPr>
          <w:p w14:paraId="5AEC475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《固定污染源排放烟气黑度的测定林格曼烟气黑度图法》</w:t>
            </w:r>
          </w:p>
          <w:p w14:paraId="5A81943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HJ/T398-2007</w:t>
            </w:r>
          </w:p>
        </w:tc>
        <w:tc>
          <w:tcPr>
            <w:tcW w:w="2014" w:type="dxa"/>
            <w:vAlign w:val="center"/>
          </w:tcPr>
          <w:p w14:paraId="3D9C70A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第三方检测</w:t>
            </w:r>
          </w:p>
        </w:tc>
      </w:tr>
      <w:tr w14:paraId="5043D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jc w:val="center"/>
        </w:trPr>
        <w:tc>
          <w:tcPr>
            <w:tcW w:w="714" w:type="dxa"/>
            <w:vAlign w:val="center"/>
          </w:tcPr>
          <w:p w14:paraId="0847615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5</w:t>
            </w:r>
          </w:p>
        </w:tc>
        <w:tc>
          <w:tcPr>
            <w:tcW w:w="1398" w:type="dxa"/>
            <w:vAlign w:val="center"/>
          </w:tcPr>
          <w:p w14:paraId="2E552DC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zh-CN"/>
              </w:rPr>
              <w:t>氨气</w:t>
            </w:r>
          </w:p>
        </w:tc>
        <w:tc>
          <w:tcPr>
            <w:tcW w:w="3764" w:type="dxa"/>
            <w:vAlign w:val="center"/>
          </w:tcPr>
          <w:p w14:paraId="6B74669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en-US"/>
              </w:rPr>
              <w:t>《环境空气和废气氨的测定 纳氏试剂分光光度法》及修改单HJ533-2009</w:t>
            </w:r>
          </w:p>
        </w:tc>
        <w:tc>
          <w:tcPr>
            <w:tcW w:w="2014" w:type="dxa"/>
            <w:vAlign w:val="center"/>
          </w:tcPr>
          <w:p w14:paraId="585E066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zh-CN"/>
              </w:rPr>
              <w:t>第三方检测</w:t>
            </w:r>
          </w:p>
        </w:tc>
      </w:tr>
      <w:tr w14:paraId="3F045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jc w:val="center"/>
        </w:trPr>
        <w:tc>
          <w:tcPr>
            <w:tcW w:w="714" w:type="dxa"/>
            <w:vAlign w:val="center"/>
          </w:tcPr>
          <w:p w14:paraId="53C5A28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6</w:t>
            </w:r>
          </w:p>
        </w:tc>
        <w:tc>
          <w:tcPr>
            <w:tcW w:w="1398" w:type="dxa"/>
            <w:vAlign w:val="center"/>
          </w:tcPr>
          <w:p w14:paraId="2699267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硫化氢</w:t>
            </w:r>
          </w:p>
        </w:tc>
        <w:tc>
          <w:tcPr>
            <w:tcW w:w="3764" w:type="dxa"/>
            <w:vAlign w:val="center"/>
          </w:tcPr>
          <w:p w14:paraId="36244F1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en-US"/>
              </w:rPr>
              <w:t>《空气和废气监测分析方法》（第四版增补版）国家环境保护总局2003年3.1.11.2亚甲基蓝分光光度法</w:t>
            </w:r>
          </w:p>
        </w:tc>
        <w:tc>
          <w:tcPr>
            <w:tcW w:w="2014" w:type="dxa"/>
            <w:vAlign w:val="center"/>
          </w:tcPr>
          <w:p w14:paraId="40B2528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zh-CN"/>
              </w:rPr>
              <w:t>第三方检测</w:t>
            </w:r>
          </w:p>
        </w:tc>
      </w:tr>
      <w:tr w14:paraId="25627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jc w:val="center"/>
        </w:trPr>
        <w:tc>
          <w:tcPr>
            <w:tcW w:w="714" w:type="dxa"/>
            <w:vAlign w:val="center"/>
          </w:tcPr>
          <w:p w14:paraId="2543792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7</w:t>
            </w:r>
          </w:p>
        </w:tc>
        <w:tc>
          <w:tcPr>
            <w:tcW w:w="1398" w:type="dxa"/>
            <w:vAlign w:val="center"/>
          </w:tcPr>
          <w:p w14:paraId="096B49F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zh-CN"/>
              </w:rPr>
              <w:t>臭气浓度</w:t>
            </w:r>
          </w:p>
        </w:tc>
        <w:tc>
          <w:tcPr>
            <w:tcW w:w="3764" w:type="dxa"/>
            <w:vAlign w:val="center"/>
          </w:tcPr>
          <w:p w14:paraId="3ACF40A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en-US"/>
              </w:rPr>
              <w:t>《环境空气和废气臭气的测定三点比较式臭袋法》HJ1262-2022</w:t>
            </w:r>
          </w:p>
        </w:tc>
        <w:tc>
          <w:tcPr>
            <w:tcW w:w="2014" w:type="dxa"/>
            <w:vAlign w:val="center"/>
          </w:tcPr>
          <w:p w14:paraId="5F3192E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zh-CN"/>
              </w:rPr>
              <w:t>第三方检测</w:t>
            </w:r>
          </w:p>
        </w:tc>
      </w:tr>
    </w:tbl>
    <w:p w14:paraId="7DD70181">
      <w:pPr>
        <w:pStyle w:val="7"/>
        <w:spacing w:line="14" w:lineRule="auto"/>
        <w:rPr>
          <w:rFonts w:hint="eastAsia" w:ascii="仿宋" w:hAnsi="仿宋" w:eastAsia="仿宋" w:cs="仿宋"/>
          <w:b w:val="0"/>
          <w:bCs w:val="0"/>
          <w:sz w:val="2"/>
          <w:szCs w:val="2"/>
          <w:u w:val="none"/>
        </w:rPr>
      </w:pPr>
    </w:p>
    <w:p w14:paraId="3FE48B3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15"/>
          <w:sz w:val="24"/>
          <w:szCs w:val="24"/>
          <w:u w:val="none"/>
          <w:lang w:val="en-US" w:eastAsia="zh-CN"/>
        </w:rPr>
      </w:pPr>
      <w:r>
        <w:rPr>
          <w:rFonts w:hint="eastAsia" w:ascii="仿宋" w:hAnsi="仿宋" w:eastAsia="仿宋" w:cs="仿宋"/>
          <w:b w:val="0"/>
          <w:bCs w:val="0"/>
          <w:spacing w:val="15"/>
          <w:sz w:val="24"/>
          <w:szCs w:val="24"/>
          <w:u w:val="none"/>
          <w:lang w:val="en-US" w:eastAsia="zh-CN"/>
        </w:rPr>
        <w:t>3、废气有组织排放监测结果执行标准见表3。</w:t>
      </w:r>
    </w:p>
    <w:p w14:paraId="2E5BBD2B">
      <w:pPr>
        <w:pStyle w:val="7"/>
        <w:keepNext w:val="0"/>
        <w:keepLines w:val="0"/>
        <w:pageBreakBefore w:val="0"/>
        <w:widowControl/>
        <w:kinsoku w:val="0"/>
        <w:wordWrap/>
        <w:overflowPunct/>
        <w:topLinePunct w:val="0"/>
        <w:autoSpaceDE w:val="0"/>
        <w:autoSpaceDN w:val="0"/>
        <w:bidi w:val="0"/>
        <w:adjustRightInd w:val="0"/>
        <w:snapToGrid w:val="0"/>
        <w:spacing w:before="122" w:line="219" w:lineRule="auto"/>
        <w:ind w:left="0"/>
        <w:jc w:val="center"/>
        <w:textAlignment w:val="baseline"/>
        <w:rPr>
          <w:rFonts w:hint="eastAsia" w:ascii="仿宋" w:hAnsi="仿宋" w:eastAsia="仿宋" w:cs="仿宋"/>
          <w:b w:val="0"/>
          <w:bCs w:val="0"/>
          <w:snapToGrid w:val="0"/>
          <w:color w:val="000000"/>
          <w:spacing w:val="0"/>
          <w:kern w:val="0"/>
          <w:position w:val="0"/>
          <w:sz w:val="24"/>
          <w:szCs w:val="24"/>
          <w:u w:val="none"/>
          <w:lang w:val="en-US" w:eastAsia="zh-CN" w:bidi="ar-SA"/>
        </w:rPr>
      </w:pPr>
      <w:r>
        <w:rPr>
          <w:rFonts w:hint="eastAsia" w:ascii="仿宋" w:hAnsi="仿宋" w:eastAsia="仿宋" w:cs="仿宋"/>
          <w:b w:val="0"/>
          <w:bCs w:val="0"/>
          <w:snapToGrid w:val="0"/>
          <w:color w:val="000000"/>
          <w:spacing w:val="0"/>
          <w:kern w:val="0"/>
          <w:position w:val="0"/>
          <w:sz w:val="24"/>
          <w:szCs w:val="24"/>
          <w:u w:val="none"/>
          <w:lang w:val="en-US" w:eastAsia="zh-CN" w:bidi="ar-SA"/>
        </w:rPr>
        <w:t>表3 废气有组织排放监测结果执行标准</w:t>
      </w:r>
    </w:p>
    <w:tbl>
      <w:tblPr>
        <w:tblStyle w:val="31"/>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724"/>
        <w:gridCol w:w="1123"/>
        <w:gridCol w:w="1084"/>
        <w:gridCol w:w="2167"/>
        <w:gridCol w:w="1484"/>
        <w:gridCol w:w="1496"/>
      </w:tblGrid>
      <w:tr w14:paraId="77F2C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 w:hRule="atLeast"/>
          <w:jc w:val="center"/>
        </w:trPr>
        <w:tc>
          <w:tcPr>
            <w:tcW w:w="547" w:type="pct"/>
            <w:vAlign w:val="center"/>
          </w:tcPr>
          <w:p w14:paraId="745BDCF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166" w:rightChars="0" w:firstLine="0" w:firstLineChars="0"/>
              <w:jc w:val="center"/>
              <w:textAlignment w:val="baseline"/>
              <w:rPr>
                <w:rFonts w:hint="eastAsia" w:ascii="仿宋" w:hAnsi="仿宋" w:eastAsia="仿宋" w:cs="仿宋"/>
                <w:b w:val="0"/>
                <w:bCs w:val="0"/>
                <w:spacing w:val="-4"/>
                <w:sz w:val="21"/>
                <w:szCs w:val="21"/>
                <w:u w:val="none"/>
              </w:rPr>
            </w:pPr>
            <w:r>
              <w:rPr>
                <w:rFonts w:hint="eastAsia" w:ascii="仿宋" w:hAnsi="仿宋" w:eastAsia="仿宋" w:cs="仿宋"/>
                <w:b w:val="0"/>
                <w:bCs w:val="0"/>
                <w:spacing w:val="-4"/>
                <w:sz w:val="21"/>
                <w:szCs w:val="21"/>
                <w:u w:val="none"/>
              </w:rPr>
              <w:t>类型</w:t>
            </w:r>
          </w:p>
        </w:tc>
        <w:tc>
          <w:tcPr>
            <w:tcW w:w="399" w:type="pct"/>
            <w:vAlign w:val="center"/>
          </w:tcPr>
          <w:p w14:paraId="5BBDBCB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166" w:rightChars="0" w:firstLine="0" w:firstLineChars="0"/>
              <w:jc w:val="center"/>
              <w:textAlignment w:val="baseline"/>
              <w:rPr>
                <w:rFonts w:hint="eastAsia" w:ascii="仿宋" w:hAnsi="仿宋" w:eastAsia="仿宋" w:cs="仿宋"/>
                <w:b w:val="0"/>
                <w:bCs w:val="0"/>
                <w:spacing w:val="-4"/>
                <w:sz w:val="21"/>
                <w:szCs w:val="21"/>
                <w:u w:val="none"/>
              </w:rPr>
            </w:pPr>
            <w:r>
              <w:rPr>
                <w:rFonts w:hint="eastAsia" w:ascii="仿宋" w:hAnsi="仿宋" w:eastAsia="仿宋" w:cs="仿宋"/>
                <w:b w:val="0"/>
                <w:bCs w:val="0"/>
                <w:spacing w:val="-4"/>
                <w:sz w:val="21"/>
                <w:szCs w:val="21"/>
                <w:u w:val="none"/>
              </w:rPr>
              <w:t>序号</w:t>
            </w:r>
          </w:p>
        </w:tc>
        <w:tc>
          <w:tcPr>
            <w:tcW w:w="619" w:type="pct"/>
            <w:vAlign w:val="center"/>
          </w:tcPr>
          <w:p w14:paraId="360AB78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166" w:rightChars="0" w:firstLine="0" w:firstLineChars="0"/>
              <w:jc w:val="center"/>
              <w:textAlignment w:val="baseline"/>
              <w:rPr>
                <w:rFonts w:hint="eastAsia" w:ascii="仿宋" w:hAnsi="仿宋" w:eastAsia="仿宋" w:cs="仿宋"/>
                <w:b w:val="0"/>
                <w:bCs w:val="0"/>
                <w:spacing w:val="-4"/>
                <w:sz w:val="21"/>
                <w:szCs w:val="21"/>
                <w:u w:val="none"/>
                <w:lang w:val="en-US" w:eastAsia="zh-CN"/>
              </w:rPr>
            </w:pPr>
            <w:r>
              <w:rPr>
                <w:rFonts w:hint="eastAsia" w:ascii="仿宋" w:hAnsi="仿宋" w:eastAsia="仿宋" w:cs="仿宋"/>
                <w:b w:val="0"/>
                <w:bCs w:val="0"/>
                <w:spacing w:val="-4"/>
                <w:sz w:val="21"/>
                <w:szCs w:val="21"/>
                <w:u w:val="none"/>
                <w:lang w:val="en-US" w:eastAsia="zh-CN"/>
              </w:rPr>
              <w:t>排放口编号</w:t>
            </w:r>
          </w:p>
        </w:tc>
        <w:tc>
          <w:tcPr>
            <w:tcW w:w="597" w:type="pct"/>
            <w:vAlign w:val="center"/>
          </w:tcPr>
          <w:p w14:paraId="030DF9C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166" w:rightChars="0" w:firstLine="0" w:firstLineChars="0"/>
              <w:jc w:val="center"/>
              <w:textAlignment w:val="baseline"/>
              <w:rPr>
                <w:rFonts w:hint="eastAsia" w:ascii="仿宋" w:hAnsi="仿宋" w:eastAsia="仿宋" w:cs="仿宋"/>
                <w:b w:val="0"/>
                <w:bCs w:val="0"/>
                <w:spacing w:val="-4"/>
                <w:sz w:val="21"/>
                <w:szCs w:val="21"/>
                <w:u w:val="none"/>
              </w:rPr>
            </w:pPr>
            <w:r>
              <w:rPr>
                <w:rFonts w:hint="eastAsia" w:ascii="仿宋" w:hAnsi="仿宋" w:eastAsia="仿宋" w:cs="仿宋"/>
                <w:b w:val="0"/>
                <w:bCs w:val="0"/>
                <w:spacing w:val="-4"/>
                <w:sz w:val="21"/>
                <w:szCs w:val="21"/>
                <w:u w:val="none"/>
              </w:rPr>
              <w:t>监测项目</w:t>
            </w:r>
          </w:p>
        </w:tc>
        <w:tc>
          <w:tcPr>
            <w:tcW w:w="1194" w:type="pct"/>
            <w:tcBorders>
              <w:right w:val="single" w:color="auto" w:sz="4" w:space="0"/>
            </w:tcBorders>
            <w:vAlign w:val="center"/>
          </w:tcPr>
          <w:p w14:paraId="3CC39BD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166" w:rightChars="0" w:firstLine="0" w:firstLineChars="0"/>
              <w:jc w:val="center"/>
              <w:textAlignment w:val="baseline"/>
              <w:rPr>
                <w:rFonts w:hint="eastAsia" w:ascii="仿宋" w:hAnsi="仿宋" w:eastAsia="仿宋" w:cs="仿宋"/>
                <w:b w:val="0"/>
                <w:bCs w:val="0"/>
                <w:spacing w:val="-4"/>
                <w:sz w:val="21"/>
                <w:szCs w:val="21"/>
                <w:u w:val="none"/>
              </w:rPr>
            </w:pPr>
            <w:r>
              <w:rPr>
                <w:rFonts w:hint="eastAsia" w:ascii="仿宋" w:hAnsi="仿宋" w:eastAsia="仿宋" w:cs="仿宋"/>
                <w:b w:val="0"/>
                <w:bCs w:val="0"/>
                <w:spacing w:val="-4"/>
                <w:sz w:val="21"/>
                <w:szCs w:val="21"/>
                <w:u w:val="none"/>
              </w:rPr>
              <w:t>执行排放浓度标准限值</w:t>
            </w:r>
          </w:p>
          <w:p w14:paraId="496CDAD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166" w:rightChars="0" w:firstLine="0" w:firstLineChars="0"/>
              <w:jc w:val="center"/>
              <w:textAlignment w:val="baseline"/>
              <w:rPr>
                <w:rFonts w:hint="eastAsia" w:ascii="仿宋" w:hAnsi="仿宋" w:eastAsia="仿宋" w:cs="仿宋"/>
                <w:b w:val="0"/>
                <w:bCs w:val="0"/>
                <w:spacing w:val="-4"/>
                <w:sz w:val="21"/>
                <w:szCs w:val="21"/>
                <w:u w:val="none"/>
              </w:rPr>
            </w:pPr>
            <w:r>
              <w:rPr>
                <w:rFonts w:hint="eastAsia" w:ascii="仿宋" w:hAnsi="仿宋" w:eastAsia="仿宋" w:cs="仿宋"/>
                <w:b w:val="0"/>
                <w:bCs w:val="0"/>
                <w:spacing w:val="-4"/>
                <w:sz w:val="21"/>
                <w:szCs w:val="21"/>
                <w:u w:val="none"/>
              </w:rPr>
              <w:t>(mg/Nm³)</w:t>
            </w:r>
          </w:p>
        </w:tc>
        <w:tc>
          <w:tcPr>
            <w:tcW w:w="817" w:type="pct"/>
            <w:tcBorders>
              <w:top w:val="single" w:color="auto" w:sz="4" w:space="0"/>
              <w:left w:val="single" w:color="auto" w:sz="4" w:space="0"/>
              <w:bottom w:val="single" w:color="auto" w:sz="4" w:space="0"/>
              <w:right w:val="single" w:color="auto" w:sz="4" w:space="0"/>
            </w:tcBorders>
            <w:vAlign w:val="center"/>
          </w:tcPr>
          <w:p w14:paraId="36D203E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166" w:rightChars="0" w:firstLine="0" w:firstLineChars="0"/>
              <w:jc w:val="center"/>
              <w:textAlignment w:val="baseline"/>
              <w:rPr>
                <w:rFonts w:hint="eastAsia" w:ascii="仿宋" w:hAnsi="仿宋" w:eastAsia="仿宋" w:cs="仿宋"/>
                <w:b w:val="0"/>
                <w:bCs w:val="0"/>
                <w:spacing w:val="-4"/>
                <w:sz w:val="21"/>
                <w:szCs w:val="21"/>
                <w:u w:val="none"/>
              </w:rPr>
            </w:pPr>
            <w:r>
              <w:rPr>
                <w:rFonts w:hint="eastAsia" w:ascii="仿宋" w:hAnsi="仿宋" w:eastAsia="仿宋" w:cs="仿宋"/>
                <w:b w:val="0"/>
                <w:bCs w:val="0"/>
                <w:spacing w:val="-4"/>
                <w:sz w:val="21"/>
                <w:szCs w:val="21"/>
                <w:u w:val="none"/>
              </w:rPr>
              <w:t>执行排放速率</w:t>
            </w:r>
          </w:p>
          <w:p w14:paraId="58099E9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166" w:rightChars="0" w:firstLine="0" w:firstLineChars="0"/>
              <w:jc w:val="center"/>
              <w:textAlignment w:val="baseline"/>
              <w:rPr>
                <w:rFonts w:hint="eastAsia" w:ascii="仿宋" w:hAnsi="仿宋" w:eastAsia="仿宋" w:cs="仿宋"/>
                <w:b w:val="0"/>
                <w:bCs w:val="0"/>
                <w:spacing w:val="-4"/>
                <w:sz w:val="21"/>
                <w:szCs w:val="21"/>
                <w:u w:val="none"/>
              </w:rPr>
            </w:pPr>
            <w:r>
              <w:rPr>
                <w:rFonts w:hint="eastAsia" w:ascii="仿宋" w:hAnsi="仿宋" w:eastAsia="仿宋" w:cs="仿宋"/>
                <w:b w:val="0"/>
                <w:bCs w:val="0"/>
                <w:spacing w:val="-4"/>
                <w:sz w:val="21"/>
                <w:szCs w:val="21"/>
                <w:u w:val="none"/>
              </w:rPr>
              <w:t>标准限值</w:t>
            </w:r>
          </w:p>
        </w:tc>
        <w:tc>
          <w:tcPr>
            <w:tcW w:w="824" w:type="pct"/>
            <w:tcBorders>
              <w:left w:val="single" w:color="auto" w:sz="4" w:space="0"/>
            </w:tcBorders>
            <w:vAlign w:val="center"/>
          </w:tcPr>
          <w:p w14:paraId="2635EFE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166" w:rightChars="0" w:firstLine="0" w:firstLineChars="0"/>
              <w:jc w:val="center"/>
              <w:textAlignment w:val="baseline"/>
              <w:rPr>
                <w:rFonts w:hint="eastAsia" w:ascii="仿宋" w:hAnsi="仿宋" w:eastAsia="仿宋" w:cs="仿宋"/>
                <w:b w:val="0"/>
                <w:bCs w:val="0"/>
                <w:spacing w:val="-4"/>
                <w:sz w:val="21"/>
                <w:szCs w:val="21"/>
                <w:u w:val="none"/>
              </w:rPr>
            </w:pPr>
            <w:r>
              <w:rPr>
                <w:rFonts w:hint="eastAsia" w:ascii="仿宋" w:hAnsi="仿宋" w:eastAsia="仿宋" w:cs="仿宋"/>
                <w:b w:val="0"/>
                <w:bCs w:val="0"/>
                <w:spacing w:val="-4"/>
                <w:sz w:val="21"/>
                <w:szCs w:val="21"/>
                <w:u w:val="none"/>
              </w:rPr>
              <w:t>执行标准</w:t>
            </w:r>
          </w:p>
        </w:tc>
      </w:tr>
      <w:tr w14:paraId="39861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547" w:type="pct"/>
            <w:vMerge w:val="restart"/>
            <w:vAlign w:val="center"/>
          </w:tcPr>
          <w:p w14:paraId="54FB4BEB">
            <w:pPr>
              <w:pStyle w:val="30"/>
              <w:spacing w:before="237" w:line="183" w:lineRule="auto"/>
              <w:jc w:val="center"/>
              <w:rPr>
                <w:rFonts w:hint="eastAsia" w:ascii="仿宋" w:hAnsi="仿宋" w:eastAsia="仿宋" w:cs="仿宋"/>
                <w:b w:val="0"/>
                <w:bCs w:val="0"/>
                <w:sz w:val="21"/>
                <w:szCs w:val="21"/>
                <w:u w:val="none"/>
              </w:rPr>
            </w:pPr>
            <w:r>
              <w:rPr>
                <w:rFonts w:hint="eastAsia" w:ascii="仿宋" w:hAnsi="仿宋" w:eastAsia="仿宋" w:cs="仿宋"/>
                <w:b w:val="0"/>
                <w:bCs w:val="0"/>
                <w:spacing w:val="0"/>
                <w:position w:val="0"/>
                <w:sz w:val="21"/>
                <w:szCs w:val="21"/>
                <w:highlight w:val="none"/>
                <w:u w:val="none"/>
                <w:lang w:val="en-US" w:eastAsia="zh-CN"/>
              </w:rPr>
              <w:t>废气有组织排放</w:t>
            </w:r>
          </w:p>
        </w:tc>
        <w:tc>
          <w:tcPr>
            <w:tcW w:w="399" w:type="pct"/>
            <w:vAlign w:val="center"/>
          </w:tcPr>
          <w:p w14:paraId="78D9861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en-US"/>
              </w:rPr>
              <w:t>1</w:t>
            </w:r>
          </w:p>
        </w:tc>
        <w:tc>
          <w:tcPr>
            <w:tcW w:w="619" w:type="pct"/>
            <w:vMerge w:val="restart"/>
            <w:vAlign w:val="top"/>
          </w:tcPr>
          <w:p w14:paraId="5537C30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DA006</w:t>
            </w:r>
          </w:p>
          <w:p w14:paraId="40E64ED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DA007</w:t>
            </w:r>
          </w:p>
          <w:p w14:paraId="3F74D2D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DA008</w:t>
            </w:r>
          </w:p>
        </w:tc>
        <w:tc>
          <w:tcPr>
            <w:tcW w:w="597" w:type="pct"/>
            <w:vAlign w:val="center"/>
          </w:tcPr>
          <w:p w14:paraId="499373E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en-US"/>
              </w:rPr>
              <w:t>颗粒物</w:t>
            </w:r>
          </w:p>
        </w:tc>
        <w:tc>
          <w:tcPr>
            <w:tcW w:w="1194" w:type="pct"/>
            <w:tcBorders>
              <w:right w:val="single" w:color="auto" w:sz="4" w:space="0"/>
            </w:tcBorders>
            <w:vAlign w:val="center"/>
          </w:tcPr>
          <w:p w14:paraId="4BE5C33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en-US"/>
              </w:rPr>
              <w:t>10</w:t>
            </w:r>
          </w:p>
        </w:tc>
        <w:tc>
          <w:tcPr>
            <w:tcW w:w="817" w:type="pct"/>
            <w:tcBorders>
              <w:top w:val="single" w:color="auto" w:sz="4" w:space="0"/>
              <w:left w:val="single" w:color="auto" w:sz="4" w:space="0"/>
              <w:bottom w:val="single" w:color="auto" w:sz="4" w:space="0"/>
              <w:right w:val="single" w:color="auto" w:sz="4" w:space="0"/>
            </w:tcBorders>
            <w:vAlign w:val="center"/>
          </w:tcPr>
          <w:p w14:paraId="4A15AC2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rPr>
              <w:t>/</w:t>
            </w:r>
          </w:p>
        </w:tc>
        <w:tc>
          <w:tcPr>
            <w:tcW w:w="824" w:type="pct"/>
            <w:vMerge w:val="restart"/>
            <w:tcBorders>
              <w:left w:val="single" w:color="auto" w:sz="4" w:space="0"/>
              <w:bottom w:val="nil"/>
            </w:tcBorders>
            <w:vAlign w:val="center"/>
          </w:tcPr>
          <w:p w14:paraId="18817C3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rPr>
            </w:pPr>
            <w:r>
              <w:rPr>
                <w:rFonts w:hint="eastAsia" w:ascii="仿宋" w:hAnsi="仿宋" w:eastAsia="仿宋" w:cs="仿宋"/>
                <w:b w:val="0"/>
                <w:bCs w:val="0"/>
                <w:spacing w:val="0"/>
                <w:position w:val="0"/>
                <w:sz w:val="21"/>
                <w:szCs w:val="21"/>
                <w:highlight w:val="none"/>
                <w:u w:val="none"/>
              </w:rPr>
              <w:t>《锅炉大气污染物排放标准》DB32/4385-2022</w:t>
            </w:r>
          </w:p>
        </w:tc>
      </w:tr>
      <w:tr w14:paraId="44875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jc w:val="center"/>
        </w:trPr>
        <w:tc>
          <w:tcPr>
            <w:tcW w:w="547" w:type="pct"/>
            <w:vMerge w:val="continue"/>
            <w:vAlign w:val="top"/>
          </w:tcPr>
          <w:p w14:paraId="183D68DF">
            <w:pPr>
              <w:pStyle w:val="30"/>
              <w:spacing w:before="237" w:line="183" w:lineRule="auto"/>
              <w:ind w:left="284"/>
              <w:rPr>
                <w:rFonts w:hint="eastAsia" w:ascii="仿宋" w:hAnsi="仿宋" w:eastAsia="仿宋" w:cs="仿宋"/>
                <w:b w:val="0"/>
                <w:bCs w:val="0"/>
                <w:sz w:val="21"/>
                <w:szCs w:val="21"/>
                <w:u w:val="none"/>
              </w:rPr>
            </w:pPr>
          </w:p>
        </w:tc>
        <w:tc>
          <w:tcPr>
            <w:tcW w:w="399" w:type="pct"/>
            <w:vAlign w:val="center"/>
          </w:tcPr>
          <w:p w14:paraId="76E617B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en-US"/>
              </w:rPr>
              <w:t>2</w:t>
            </w:r>
          </w:p>
        </w:tc>
        <w:tc>
          <w:tcPr>
            <w:tcW w:w="619" w:type="pct"/>
            <w:vMerge w:val="continue"/>
            <w:vAlign w:val="top"/>
          </w:tcPr>
          <w:p w14:paraId="0E7EB5D0">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p>
        </w:tc>
        <w:tc>
          <w:tcPr>
            <w:tcW w:w="597" w:type="pct"/>
            <w:vAlign w:val="center"/>
          </w:tcPr>
          <w:p w14:paraId="6DC793E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en-US"/>
              </w:rPr>
              <w:t>二氧化硫</w:t>
            </w:r>
          </w:p>
        </w:tc>
        <w:tc>
          <w:tcPr>
            <w:tcW w:w="1194" w:type="pct"/>
            <w:tcBorders>
              <w:right w:val="single" w:color="auto" w:sz="4" w:space="0"/>
            </w:tcBorders>
            <w:vAlign w:val="center"/>
          </w:tcPr>
          <w:p w14:paraId="62935B0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en-US"/>
              </w:rPr>
              <w:t>35</w:t>
            </w:r>
          </w:p>
        </w:tc>
        <w:tc>
          <w:tcPr>
            <w:tcW w:w="817" w:type="pct"/>
            <w:tcBorders>
              <w:top w:val="single" w:color="auto" w:sz="4" w:space="0"/>
              <w:left w:val="single" w:color="auto" w:sz="4" w:space="0"/>
              <w:bottom w:val="single" w:color="auto" w:sz="4" w:space="0"/>
              <w:right w:val="single" w:color="auto" w:sz="4" w:space="0"/>
            </w:tcBorders>
            <w:vAlign w:val="center"/>
          </w:tcPr>
          <w:p w14:paraId="2064C07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rPr>
              <w:t>/</w:t>
            </w:r>
          </w:p>
        </w:tc>
        <w:tc>
          <w:tcPr>
            <w:tcW w:w="824" w:type="pct"/>
            <w:vMerge w:val="continue"/>
            <w:tcBorders>
              <w:top w:val="nil"/>
              <w:left w:val="single" w:color="auto" w:sz="4" w:space="0"/>
              <w:bottom w:val="nil"/>
            </w:tcBorders>
            <w:vAlign w:val="center"/>
          </w:tcPr>
          <w:p w14:paraId="6FD6D60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rPr>
            </w:pPr>
          </w:p>
        </w:tc>
      </w:tr>
      <w:tr w14:paraId="18FB7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jc w:val="center"/>
        </w:trPr>
        <w:tc>
          <w:tcPr>
            <w:tcW w:w="547" w:type="pct"/>
            <w:vMerge w:val="continue"/>
            <w:vAlign w:val="top"/>
          </w:tcPr>
          <w:p w14:paraId="64D6DC4C">
            <w:pPr>
              <w:pStyle w:val="30"/>
              <w:spacing w:before="237" w:line="183" w:lineRule="auto"/>
              <w:ind w:left="284"/>
              <w:rPr>
                <w:rFonts w:hint="eastAsia" w:ascii="仿宋" w:hAnsi="仿宋" w:eastAsia="仿宋" w:cs="仿宋"/>
                <w:b w:val="0"/>
                <w:bCs w:val="0"/>
                <w:sz w:val="21"/>
                <w:szCs w:val="21"/>
                <w:u w:val="none"/>
              </w:rPr>
            </w:pPr>
          </w:p>
        </w:tc>
        <w:tc>
          <w:tcPr>
            <w:tcW w:w="399" w:type="pct"/>
            <w:vAlign w:val="center"/>
          </w:tcPr>
          <w:p w14:paraId="2D3E995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en-US"/>
              </w:rPr>
              <w:t>3</w:t>
            </w:r>
          </w:p>
        </w:tc>
        <w:tc>
          <w:tcPr>
            <w:tcW w:w="619" w:type="pct"/>
            <w:vMerge w:val="continue"/>
            <w:vAlign w:val="top"/>
          </w:tcPr>
          <w:p w14:paraId="5C5F936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p>
        </w:tc>
        <w:tc>
          <w:tcPr>
            <w:tcW w:w="597" w:type="pct"/>
            <w:vAlign w:val="center"/>
          </w:tcPr>
          <w:p w14:paraId="7074870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en-US"/>
              </w:rPr>
              <w:t>林格曼黑度</w:t>
            </w:r>
          </w:p>
        </w:tc>
        <w:tc>
          <w:tcPr>
            <w:tcW w:w="1194" w:type="pct"/>
            <w:tcBorders>
              <w:right w:val="single" w:color="auto" w:sz="4" w:space="0"/>
            </w:tcBorders>
            <w:vAlign w:val="center"/>
          </w:tcPr>
          <w:p w14:paraId="3CBDBB7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en-US"/>
              </w:rPr>
              <w:t>1级</w:t>
            </w:r>
          </w:p>
        </w:tc>
        <w:tc>
          <w:tcPr>
            <w:tcW w:w="817" w:type="pct"/>
            <w:tcBorders>
              <w:top w:val="single" w:color="auto" w:sz="4" w:space="0"/>
              <w:left w:val="single" w:color="auto" w:sz="4" w:space="0"/>
              <w:bottom w:val="single" w:color="auto" w:sz="4" w:space="0"/>
              <w:right w:val="single" w:color="auto" w:sz="4" w:space="0"/>
            </w:tcBorders>
            <w:vAlign w:val="center"/>
          </w:tcPr>
          <w:p w14:paraId="74CD899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rPr>
              <w:t>/</w:t>
            </w:r>
          </w:p>
        </w:tc>
        <w:tc>
          <w:tcPr>
            <w:tcW w:w="824" w:type="pct"/>
            <w:vMerge w:val="continue"/>
            <w:tcBorders>
              <w:top w:val="nil"/>
              <w:left w:val="single" w:color="auto" w:sz="4" w:space="0"/>
              <w:bottom w:val="nil"/>
            </w:tcBorders>
            <w:vAlign w:val="center"/>
          </w:tcPr>
          <w:p w14:paraId="7D61FE9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rPr>
            </w:pPr>
          </w:p>
        </w:tc>
      </w:tr>
      <w:tr w14:paraId="4065B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547" w:type="pct"/>
            <w:vMerge w:val="continue"/>
            <w:vAlign w:val="top"/>
          </w:tcPr>
          <w:p w14:paraId="610142E9">
            <w:pPr>
              <w:pStyle w:val="30"/>
              <w:spacing w:before="237" w:line="183" w:lineRule="auto"/>
              <w:ind w:left="284"/>
              <w:rPr>
                <w:rFonts w:hint="eastAsia" w:ascii="仿宋" w:hAnsi="仿宋" w:eastAsia="仿宋" w:cs="仿宋"/>
                <w:b w:val="0"/>
                <w:bCs w:val="0"/>
                <w:sz w:val="21"/>
                <w:szCs w:val="21"/>
                <w:u w:val="none"/>
              </w:rPr>
            </w:pPr>
          </w:p>
        </w:tc>
        <w:tc>
          <w:tcPr>
            <w:tcW w:w="399" w:type="pct"/>
            <w:vAlign w:val="center"/>
          </w:tcPr>
          <w:p w14:paraId="01B4A32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en-US"/>
              </w:rPr>
              <w:t>4</w:t>
            </w:r>
          </w:p>
        </w:tc>
        <w:tc>
          <w:tcPr>
            <w:tcW w:w="619" w:type="pct"/>
            <w:vMerge w:val="continue"/>
            <w:vAlign w:val="top"/>
          </w:tcPr>
          <w:p w14:paraId="4C78A1F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p>
        </w:tc>
        <w:tc>
          <w:tcPr>
            <w:tcW w:w="597" w:type="pct"/>
            <w:vAlign w:val="center"/>
          </w:tcPr>
          <w:p w14:paraId="4ADA083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en-US"/>
              </w:rPr>
              <w:t>氮氧化物</w:t>
            </w:r>
          </w:p>
        </w:tc>
        <w:tc>
          <w:tcPr>
            <w:tcW w:w="1194" w:type="pct"/>
            <w:tcBorders>
              <w:right w:val="single" w:color="auto" w:sz="4" w:space="0"/>
            </w:tcBorders>
            <w:vAlign w:val="center"/>
          </w:tcPr>
          <w:p w14:paraId="55E673A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en-US"/>
              </w:rPr>
              <w:t>50</w:t>
            </w:r>
          </w:p>
        </w:tc>
        <w:tc>
          <w:tcPr>
            <w:tcW w:w="817" w:type="pct"/>
            <w:tcBorders>
              <w:top w:val="single" w:color="auto" w:sz="4" w:space="0"/>
              <w:left w:val="single" w:color="auto" w:sz="4" w:space="0"/>
              <w:bottom w:val="single" w:color="auto" w:sz="4" w:space="0"/>
              <w:right w:val="single" w:color="auto" w:sz="4" w:space="0"/>
            </w:tcBorders>
            <w:vAlign w:val="center"/>
          </w:tcPr>
          <w:p w14:paraId="70E0896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rPr>
              <w:t>/</w:t>
            </w:r>
          </w:p>
        </w:tc>
        <w:tc>
          <w:tcPr>
            <w:tcW w:w="824" w:type="pct"/>
            <w:vMerge w:val="continue"/>
            <w:tcBorders>
              <w:top w:val="nil"/>
              <w:left w:val="single" w:color="auto" w:sz="4" w:space="0"/>
              <w:bottom w:val="single" w:color="auto" w:sz="4" w:space="0"/>
            </w:tcBorders>
            <w:vAlign w:val="center"/>
          </w:tcPr>
          <w:p w14:paraId="2209BDD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rPr>
            </w:pPr>
          </w:p>
        </w:tc>
      </w:tr>
      <w:tr w14:paraId="707C6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547" w:type="pct"/>
            <w:vMerge w:val="continue"/>
            <w:vAlign w:val="top"/>
          </w:tcPr>
          <w:p w14:paraId="1AFDE74B">
            <w:pPr>
              <w:pStyle w:val="30"/>
              <w:spacing w:before="237" w:line="183" w:lineRule="auto"/>
              <w:ind w:left="284"/>
              <w:rPr>
                <w:rFonts w:hint="eastAsia" w:ascii="仿宋" w:hAnsi="仿宋" w:eastAsia="仿宋" w:cs="仿宋"/>
                <w:b w:val="0"/>
                <w:bCs w:val="0"/>
                <w:sz w:val="21"/>
                <w:szCs w:val="21"/>
                <w:u w:val="none"/>
              </w:rPr>
            </w:pPr>
          </w:p>
        </w:tc>
        <w:tc>
          <w:tcPr>
            <w:tcW w:w="399" w:type="pct"/>
            <w:vAlign w:val="center"/>
          </w:tcPr>
          <w:p w14:paraId="76BA260D">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5</w:t>
            </w:r>
          </w:p>
        </w:tc>
        <w:tc>
          <w:tcPr>
            <w:tcW w:w="619" w:type="pct"/>
            <w:vMerge w:val="restart"/>
            <w:vAlign w:val="center"/>
          </w:tcPr>
          <w:p w14:paraId="287135E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DA005</w:t>
            </w:r>
          </w:p>
        </w:tc>
        <w:tc>
          <w:tcPr>
            <w:tcW w:w="597" w:type="pct"/>
            <w:vAlign w:val="center"/>
          </w:tcPr>
          <w:p w14:paraId="638289E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zh-CN"/>
              </w:rPr>
              <w:t>氨气</w:t>
            </w:r>
          </w:p>
        </w:tc>
        <w:tc>
          <w:tcPr>
            <w:tcW w:w="1194" w:type="pct"/>
            <w:tcBorders>
              <w:right w:val="single" w:color="auto" w:sz="4" w:space="0"/>
            </w:tcBorders>
            <w:vAlign w:val="center"/>
          </w:tcPr>
          <w:p w14:paraId="5904262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w:t>
            </w:r>
          </w:p>
        </w:tc>
        <w:tc>
          <w:tcPr>
            <w:tcW w:w="817" w:type="pct"/>
            <w:tcBorders>
              <w:top w:val="single" w:color="auto" w:sz="4" w:space="0"/>
              <w:left w:val="single" w:color="auto" w:sz="4" w:space="0"/>
              <w:right w:val="single" w:color="auto" w:sz="4" w:space="0"/>
            </w:tcBorders>
            <w:vAlign w:val="center"/>
          </w:tcPr>
          <w:p w14:paraId="7C35E4B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rPr>
              <w:t>4.9kg/h</w:t>
            </w:r>
          </w:p>
        </w:tc>
        <w:tc>
          <w:tcPr>
            <w:tcW w:w="824" w:type="pct"/>
            <w:vMerge w:val="restart"/>
            <w:tcBorders>
              <w:top w:val="single" w:color="auto" w:sz="4" w:space="0"/>
              <w:left w:val="single" w:color="auto" w:sz="4" w:space="0"/>
              <w:right w:val="single" w:color="auto" w:sz="4" w:space="0"/>
            </w:tcBorders>
            <w:vAlign w:val="center"/>
          </w:tcPr>
          <w:p w14:paraId="28FAFD5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rPr>
            </w:pPr>
            <w:r>
              <w:rPr>
                <w:rFonts w:hint="eastAsia" w:ascii="仿宋" w:hAnsi="仿宋" w:eastAsia="仿宋" w:cs="仿宋"/>
                <w:b w:val="0"/>
                <w:bCs w:val="0"/>
                <w:spacing w:val="0"/>
                <w:position w:val="0"/>
                <w:sz w:val="21"/>
                <w:szCs w:val="21"/>
                <w:highlight w:val="none"/>
                <w:u w:val="none"/>
              </w:rPr>
              <w:t>《恶臭污染物放标准》GB14554-</w:t>
            </w:r>
            <w:r>
              <w:rPr>
                <w:rFonts w:hint="eastAsia" w:ascii="仿宋" w:hAnsi="仿宋" w:eastAsia="仿宋" w:cs="仿宋"/>
                <w:b w:val="0"/>
                <w:bCs w:val="0"/>
                <w:spacing w:val="0"/>
                <w:position w:val="0"/>
                <w:sz w:val="21"/>
                <w:szCs w:val="21"/>
                <w:highlight w:val="none"/>
                <w:u w:val="none"/>
                <w:lang w:val="en-US" w:eastAsia="zh-CN"/>
              </w:rPr>
              <w:t>19</w:t>
            </w:r>
            <w:r>
              <w:rPr>
                <w:rFonts w:hint="eastAsia" w:ascii="仿宋" w:hAnsi="仿宋" w:eastAsia="仿宋" w:cs="仿宋"/>
                <w:b w:val="0"/>
                <w:bCs w:val="0"/>
                <w:spacing w:val="0"/>
                <w:position w:val="0"/>
                <w:sz w:val="21"/>
                <w:szCs w:val="21"/>
                <w:highlight w:val="none"/>
                <w:u w:val="none"/>
              </w:rPr>
              <w:t>93 表2</w:t>
            </w:r>
          </w:p>
        </w:tc>
      </w:tr>
      <w:tr w14:paraId="06B88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547" w:type="pct"/>
            <w:vMerge w:val="continue"/>
            <w:vAlign w:val="top"/>
          </w:tcPr>
          <w:p w14:paraId="75F0576A">
            <w:pPr>
              <w:pStyle w:val="30"/>
              <w:spacing w:before="237" w:line="183" w:lineRule="auto"/>
              <w:ind w:left="284"/>
              <w:rPr>
                <w:rFonts w:hint="eastAsia" w:ascii="仿宋" w:hAnsi="仿宋" w:eastAsia="仿宋" w:cs="仿宋"/>
                <w:b w:val="0"/>
                <w:bCs w:val="0"/>
                <w:sz w:val="21"/>
                <w:szCs w:val="21"/>
                <w:u w:val="none"/>
              </w:rPr>
            </w:pPr>
          </w:p>
        </w:tc>
        <w:tc>
          <w:tcPr>
            <w:tcW w:w="399" w:type="pct"/>
            <w:vAlign w:val="center"/>
          </w:tcPr>
          <w:p w14:paraId="721C697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6</w:t>
            </w:r>
          </w:p>
        </w:tc>
        <w:tc>
          <w:tcPr>
            <w:tcW w:w="619" w:type="pct"/>
            <w:vMerge w:val="continue"/>
            <w:vAlign w:val="center"/>
          </w:tcPr>
          <w:p w14:paraId="6AFF596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597" w:type="pct"/>
            <w:vAlign w:val="center"/>
          </w:tcPr>
          <w:p w14:paraId="558E89F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zh-CN"/>
              </w:rPr>
              <w:t>硫化氢</w:t>
            </w:r>
          </w:p>
        </w:tc>
        <w:tc>
          <w:tcPr>
            <w:tcW w:w="1194" w:type="pct"/>
            <w:tcBorders>
              <w:right w:val="single" w:color="auto" w:sz="4" w:space="0"/>
            </w:tcBorders>
            <w:vAlign w:val="center"/>
          </w:tcPr>
          <w:p w14:paraId="74B6A94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w:t>
            </w:r>
          </w:p>
        </w:tc>
        <w:tc>
          <w:tcPr>
            <w:tcW w:w="817" w:type="pct"/>
            <w:tcBorders>
              <w:left w:val="single" w:color="auto" w:sz="4" w:space="0"/>
              <w:right w:val="single" w:color="auto" w:sz="4" w:space="0"/>
            </w:tcBorders>
            <w:vAlign w:val="center"/>
          </w:tcPr>
          <w:p w14:paraId="412E91A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0.33kg/h</w:t>
            </w:r>
          </w:p>
        </w:tc>
        <w:tc>
          <w:tcPr>
            <w:tcW w:w="824" w:type="pct"/>
            <w:vMerge w:val="continue"/>
            <w:tcBorders>
              <w:left w:val="single" w:color="auto" w:sz="4" w:space="0"/>
              <w:right w:val="single" w:color="auto" w:sz="4" w:space="0"/>
            </w:tcBorders>
            <w:vAlign w:val="top"/>
          </w:tcPr>
          <w:p w14:paraId="41BBF6FB">
            <w:pPr>
              <w:pStyle w:val="30"/>
              <w:spacing w:before="237" w:line="183" w:lineRule="auto"/>
              <w:ind w:left="284"/>
              <w:rPr>
                <w:rFonts w:hint="eastAsia" w:ascii="仿宋" w:hAnsi="仿宋" w:eastAsia="仿宋" w:cs="仿宋"/>
                <w:b w:val="0"/>
                <w:bCs w:val="0"/>
                <w:sz w:val="21"/>
                <w:szCs w:val="21"/>
                <w:u w:val="none"/>
              </w:rPr>
            </w:pPr>
          </w:p>
        </w:tc>
      </w:tr>
      <w:tr w14:paraId="150B8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547" w:type="pct"/>
            <w:vMerge w:val="continue"/>
            <w:vAlign w:val="top"/>
          </w:tcPr>
          <w:p w14:paraId="36486E7A">
            <w:pPr>
              <w:pStyle w:val="30"/>
              <w:spacing w:before="237" w:line="183" w:lineRule="auto"/>
              <w:ind w:left="284"/>
              <w:rPr>
                <w:rFonts w:hint="eastAsia" w:ascii="仿宋" w:hAnsi="仿宋" w:eastAsia="仿宋" w:cs="仿宋"/>
                <w:b w:val="0"/>
                <w:bCs w:val="0"/>
                <w:sz w:val="21"/>
                <w:szCs w:val="21"/>
                <w:u w:val="none"/>
              </w:rPr>
            </w:pPr>
          </w:p>
        </w:tc>
        <w:tc>
          <w:tcPr>
            <w:tcW w:w="399" w:type="pct"/>
            <w:vAlign w:val="center"/>
          </w:tcPr>
          <w:p w14:paraId="1CBD31D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7</w:t>
            </w:r>
          </w:p>
        </w:tc>
        <w:tc>
          <w:tcPr>
            <w:tcW w:w="619" w:type="pct"/>
            <w:vMerge w:val="continue"/>
            <w:vAlign w:val="center"/>
          </w:tcPr>
          <w:p w14:paraId="0EE3D9B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597" w:type="pct"/>
            <w:vAlign w:val="center"/>
          </w:tcPr>
          <w:p w14:paraId="0068AB4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zh-CN"/>
              </w:rPr>
              <w:t>臭气浓度</w:t>
            </w:r>
          </w:p>
        </w:tc>
        <w:tc>
          <w:tcPr>
            <w:tcW w:w="1194" w:type="pct"/>
            <w:tcBorders>
              <w:right w:val="single" w:color="auto" w:sz="4" w:space="0"/>
            </w:tcBorders>
            <w:vAlign w:val="center"/>
          </w:tcPr>
          <w:p w14:paraId="70E079C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2000（无量纲）</w:t>
            </w:r>
          </w:p>
        </w:tc>
        <w:tc>
          <w:tcPr>
            <w:tcW w:w="817" w:type="pct"/>
            <w:tcBorders>
              <w:left w:val="single" w:color="auto" w:sz="4" w:space="0"/>
              <w:bottom w:val="single" w:color="auto" w:sz="4" w:space="0"/>
              <w:right w:val="single" w:color="auto" w:sz="4" w:space="0"/>
            </w:tcBorders>
            <w:vAlign w:val="center"/>
          </w:tcPr>
          <w:p w14:paraId="61A6293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w:t>
            </w:r>
          </w:p>
        </w:tc>
        <w:tc>
          <w:tcPr>
            <w:tcW w:w="824" w:type="pct"/>
            <w:vMerge w:val="continue"/>
            <w:tcBorders>
              <w:left w:val="single" w:color="auto" w:sz="4" w:space="0"/>
              <w:bottom w:val="single" w:color="auto" w:sz="4" w:space="0"/>
              <w:right w:val="single" w:color="auto" w:sz="4" w:space="0"/>
            </w:tcBorders>
            <w:vAlign w:val="top"/>
          </w:tcPr>
          <w:p w14:paraId="24A7F809">
            <w:pPr>
              <w:pStyle w:val="30"/>
              <w:spacing w:before="237" w:line="183" w:lineRule="auto"/>
              <w:ind w:left="284"/>
              <w:rPr>
                <w:rFonts w:hint="eastAsia" w:ascii="仿宋" w:hAnsi="仿宋" w:eastAsia="仿宋" w:cs="仿宋"/>
                <w:b w:val="0"/>
                <w:bCs w:val="0"/>
                <w:sz w:val="21"/>
                <w:szCs w:val="21"/>
                <w:u w:val="none"/>
              </w:rPr>
            </w:pPr>
          </w:p>
        </w:tc>
      </w:tr>
    </w:tbl>
    <w:p w14:paraId="32D3AA8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15"/>
          <w:sz w:val="24"/>
          <w:szCs w:val="24"/>
          <w:u w:val="none"/>
          <w:lang w:val="en-US" w:eastAsia="en-US"/>
        </w:rPr>
      </w:pPr>
      <w:r>
        <w:rPr>
          <w:rFonts w:hint="eastAsia" w:ascii="仿宋" w:hAnsi="仿宋" w:eastAsia="仿宋" w:cs="仿宋"/>
          <w:b w:val="0"/>
          <w:bCs w:val="0"/>
          <w:spacing w:val="15"/>
          <w:sz w:val="24"/>
          <w:szCs w:val="24"/>
          <w:u w:val="none"/>
          <w:lang w:val="en-US" w:eastAsia="en-US"/>
        </w:rPr>
        <w:t>4.废气有组织排放监测仪器设备</w:t>
      </w:r>
    </w:p>
    <w:p w14:paraId="4A2E7FD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15"/>
          <w:sz w:val="24"/>
          <w:szCs w:val="24"/>
          <w:u w:val="none"/>
          <w:lang w:val="en-US" w:eastAsia="zh-CN"/>
        </w:rPr>
      </w:pPr>
      <w:r>
        <w:rPr>
          <w:rFonts w:hint="eastAsia" w:ascii="仿宋" w:hAnsi="仿宋" w:eastAsia="仿宋" w:cs="仿宋"/>
          <w:b w:val="0"/>
          <w:bCs w:val="0"/>
          <w:spacing w:val="15"/>
          <w:sz w:val="24"/>
          <w:szCs w:val="24"/>
          <w:u w:val="none"/>
          <w:lang w:val="en-US" w:eastAsia="zh-CN"/>
        </w:rPr>
        <w:t>废气有组织排放手工监测仪器设备见表4</w:t>
      </w:r>
    </w:p>
    <w:p w14:paraId="4B198B9A">
      <w:pPr>
        <w:spacing w:line="133" w:lineRule="auto"/>
        <w:jc w:val="center"/>
        <w:rPr>
          <w:rFonts w:hint="eastAsia" w:ascii="仿宋" w:hAnsi="仿宋" w:eastAsia="仿宋" w:cs="仿宋"/>
          <w:b w:val="0"/>
          <w:bCs w:val="0"/>
          <w:sz w:val="2"/>
          <w:u w:val="none"/>
        </w:rPr>
      </w:pPr>
    </w:p>
    <w:p w14:paraId="01C2C384">
      <w:pPr>
        <w:pStyle w:val="7"/>
        <w:keepNext w:val="0"/>
        <w:keepLines w:val="0"/>
        <w:pageBreakBefore w:val="0"/>
        <w:widowControl/>
        <w:kinsoku w:val="0"/>
        <w:wordWrap/>
        <w:overflowPunct/>
        <w:topLinePunct w:val="0"/>
        <w:autoSpaceDE w:val="0"/>
        <w:autoSpaceDN w:val="0"/>
        <w:bidi w:val="0"/>
        <w:adjustRightInd w:val="0"/>
        <w:snapToGrid w:val="0"/>
        <w:spacing w:before="122" w:line="219" w:lineRule="auto"/>
        <w:ind w:left="0"/>
        <w:jc w:val="center"/>
        <w:textAlignment w:val="baseline"/>
        <w:rPr>
          <w:rFonts w:hint="eastAsia" w:ascii="仿宋" w:hAnsi="仿宋" w:eastAsia="仿宋" w:cs="仿宋"/>
          <w:b w:val="0"/>
          <w:bCs w:val="0"/>
          <w:snapToGrid w:val="0"/>
          <w:color w:val="000000"/>
          <w:spacing w:val="0"/>
          <w:kern w:val="0"/>
          <w:position w:val="0"/>
          <w:sz w:val="24"/>
          <w:szCs w:val="24"/>
          <w:u w:val="none"/>
          <w:lang w:val="en-US" w:eastAsia="zh-CN" w:bidi="ar-SA"/>
        </w:rPr>
      </w:pPr>
      <w:r>
        <w:rPr>
          <w:rFonts w:hint="eastAsia" w:ascii="仿宋" w:hAnsi="仿宋" w:eastAsia="仿宋" w:cs="仿宋"/>
          <w:b w:val="0"/>
          <w:bCs w:val="0"/>
          <w:snapToGrid w:val="0"/>
          <w:color w:val="000000"/>
          <w:spacing w:val="0"/>
          <w:kern w:val="0"/>
          <w:position w:val="0"/>
          <w:sz w:val="24"/>
          <w:szCs w:val="24"/>
          <w:u w:val="none"/>
          <w:lang w:val="en-US" w:eastAsia="zh-CN" w:bidi="ar-SA"/>
        </w:rPr>
        <w:t>表4 废气有组织排放手工监测仪器设备表</w:t>
      </w:r>
    </w:p>
    <w:tbl>
      <w:tblPr>
        <w:tblStyle w:val="31"/>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9"/>
        <w:gridCol w:w="1950"/>
        <w:gridCol w:w="4559"/>
        <w:gridCol w:w="1403"/>
      </w:tblGrid>
      <w:tr w14:paraId="31452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159" w:type="dxa"/>
            <w:vAlign w:val="center"/>
          </w:tcPr>
          <w:p w14:paraId="5CCFCA8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监测</w:t>
            </w:r>
          </w:p>
          <w:p w14:paraId="40A1277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点位</w:t>
            </w:r>
          </w:p>
        </w:tc>
        <w:tc>
          <w:tcPr>
            <w:tcW w:w="1950" w:type="dxa"/>
            <w:vAlign w:val="center"/>
          </w:tcPr>
          <w:p w14:paraId="0FED7B9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监测项目</w:t>
            </w:r>
          </w:p>
        </w:tc>
        <w:tc>
          <w:tcPr>
            <w:tcW w:w="4559" w:type="dxa"/>
            <w:vAlign w:val="center"/>
          </w:tcPr>
          <w:p w14:paraId="75B2294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规格型号</w:t>
            </w:r>
          </w:p>
        </w:tc>
        <w:tc>
          <w:tcPr>
            <w:tcW w:w="1403" w:type="dxa"/>
            <w:vAlign w:val="center"/>
          </w:tcPr>
          <w:p w14:paraId="7CC0037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备注</w:t>
            </w:r>
          </w:p>
        </w:tc>
      </w:tr>
      <w:tr w14:paraId="21E96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1159" w:type="dxa"/>
            <w:vMerge w:val="restart"/>
            <w:tcBorders>
              <w:bottom w:val="nil"/>
            </w:tcBorders>
            <w:vAlign w:val="center"/>
          </w:tcPr>
          <w:p w14:paraId="6983E75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锅炉废气排口</w:t>
            </w:r>
          </w:p>
        </w:tc>
        <w:tc>
          <w:tcPr>
            <w:tcW w:w="1950" w:type="dxa"/>
            <w:vAlign w:val="center"/>
          </w:tcPr>
          <w:p w14:paraId="16E310E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氮氧化物</w:t>
            </w:r>
          </w:p>
        </w:tc>
        <w:tc>
          <w:tcPr>
            <w:tcW w:w="4559" w:type="dxa"/>
            <w:vAlign w:val="center"/>
          </w:tcPr>
          <w:p w14:paraId="6582E61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自动烟尘(气)测试仪JCY-80E(S)</w:t>
            </w:r>
          </w:p>
        </w:tc>
        <w:tc>
          <w:tcPr>
            <w:tcW w:w="1403" w:type="dxa"/>
            <w:vMerge w:val="restart"/>
            <w:tcBorders>
              <w:bottom w:val="nil"/>
            </w:tcBorders>
            <w:vAlign w:val="center"/>
          </w:tcPr>
          <w:p w14:paraId="742674D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第三方检测</w:t>
            </w:r>
          </w:p>
        </w:tc>
      </w:tr>
      <w:tr w14:paraId="4D688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1159" w:type="dxa"/>
            <w:vMerge w:val="continue"/>
            <w:tcBorders>
              <w:top w:val="nil"/>
              <w:bottom w:val="nil"/>
            </w:tcBorders>
            <w:vAlign w:val="center"/>
          </w:tcPr>
          <w:p w14:paraId="5E5C771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p>
        </w:tc>
        <w:tc>
          <w:tcPr>
            <w:tcW w:w="1950" w:type="dxa"/>
            <w:vAlign w:val="center"/>
          </w:tcPr>
          <w:p w14:paraId="7070F60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二氧化硫</w:t>
            </w:r>
          </w:p>
        </w:tc>
        <w:tc>
          <w:tcPr>
            <w:tcW w:w="4559" w:type="dxa"/>
            <w:vAlign w:val="center"/>
          </w:tcPr>
          <w:p w14:paraId="6CEF005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自动烟尘(气)测试仪JCY-80E(S)</w:t>
            </w:r>
          </w:p>
        </w:tc>
        <w:tc>
          <w:tcPr>
            <w:tcW w:w="1403" w:type="dxa"/>
            <w:vMerge w:val="continue"/>
            <w:tcBorders>
              <w:top w:val="nil"/>
              <w:bottom w:val="nil"/>
            </w:tcBorders>
            <w:vAlign w:val="center"/>
          </w:tcPr>
          <w:p w14:paraId="28F32E4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p>
        </w:tc>
      </w:tr>
      <w:tr w14:paraId="28592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1159" w:type="dxa"/>
            <w:vMerge w:val="continue"/>
            <w:tcBorders>
              <w:top w:val="nil"/>
              <w:bottom w:val="nil"/>
            </w:tcBorders>
            <w:vAlign w:val="center"/>
          </w:tcPr>
          <w:p w14:paraId="138E921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p>
        </w:tc>
        <w:tc>
          <w:tcPr>
            <w:tcW w:w="1950" w:type="dxa"/>
            <w:vAlign w:val="center"/>
          </w:tcPr>
          <w:p w14:paraId="6C83BDE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highlight w:val="none"/>
                <w:u w:val="none"/>
              </w:rPr>
            </w:pPr>
            <w:r>
              <w:rPr>
                <w:rFonts w:hint="eastAsia" w:ascii="仿宋" w:hAnsi="仿宋" w:eastAsia="仿宋" w:cs="仿宋"/>
                <w:b w:val="0"/>
                <w:bCs w:val="0"/>
                <w:spacing w:val="0"/>
                <w:position w:val="0"/>
                <w:sz w:val="21"/>
                <w:szCs w:val="21"/>
                <w:highlight w:val="none"/>
                <w:u w:val="none"/>
              </w:rPr>
              <w:t>颗粒物</w:t>
            </w:r>
          </w:p>
        </w:tc>
        <w:tc>
          <w:tcPr>
            <w:tcW w:w="4559" w:type="dxa"/>
            <w:vAlign w:val="center"/>
          </w:tcPr>
          <w:p w14:paraId="2E815F0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highlight w:val="none"/>
                <w:u w:val="none"/>
              </w:rPr>
            </w:pPr>
            <w:r>
              <w:rPr>
                <w:rFonts w:hint="eastAsia" w:ascii="仿宋" w:hAnsi="仿宋" w:eastAsia="仿宋" w:cs="仿宋"/>
                <w:b w:val="0"/>
                <w:bCs w:val="0"/>
                <w:spacing w:val="0"/>
                <w:position w:val="0"/>
                <w:sz w:val="21"/>
                <w:szCs w:val="21"/>
                <w:highlight w:val="none"/>
                <w:u w:val="none"/>
              </w:rPr>
              <w:t>自动烟尘(气)测试仪JCY-80E(S)</w:t>
            </w:r>
          </w:p>
        </w:tc>
        <w:tc>
          <w:tcPr>
            <w:tcW w:w="1403" w:type="dxa"/>
            <w:vMerge w:val="continue"/>
            <w:tcBorders>
              <w:top w:val="nil"/>
              <w:bottom w:val="nil"/>
            </w:tcBorders>
            <w:vAlign w:val="center"/>
          </w:tcPr>
          <w:p w14:paraId="3EBE39E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p>
        </w:tc>
      </w:tr>
      <w:tr w14:paraId="345CC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159" w:type="dxa"/>
            <w:vMerge w:val="continue"/>
            <w:tcBorders>
              <w:top w:val="nil"/>
            </w:tcBorders>
            <w:vAlign w:val="center"/>
          </w:tcPr>
          <w:p w14:paraId="519333D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p>
        </w:tc>
        <w:tc>
          <w:tcPr>
            <w:tcW w:w="1950" w:type="dxa"/>
            <w:vAlign w:val="center"/>
          </w:tcPr>
          <w:p w14:paraId="36ABF43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林格曼黑度</w:t>
            </w:r>
          </w:p>
        </w:tc>
        <w:tc>
          <w:tcPr>
            <w:tcW w:w="4559" w:type="dxa"/>
            <w:vAlign w:val="center"/>
          </w:tcPr>
          <w:p w14:paraId="0C61183D">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黑度图</w:t>
            </w:r>
          </w:p>
        </w:tc>
        <w:tc>
          <w:tcPr>
            <w:tcW w:w="1403" w:type="dxa"/>
            <w:vMerge w:val="continue"/>
            <w:tcBorders>
              <w:top w:val="nil"/>
              <w:bottom w:val="nil"/>
            </w:tcBorders>
            <w:vAlign w:val="center"/>
          </w:tcPr>
          <w:p w14:paraId="0E9D6B0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p>
        </w:tc>
      </w:tr>
      <w:tr w14:paraId="6DA12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159" w:type="dxa"/>
            <w:vMerge w:val="restart"/>
            <w:tcBorders>
              <w:bottom w:val="nil"/>
            </w:tcBorders>
            <w:vAlign w:val="center"/>
          </w:tcPr>
          <w:p w14:paraId="0714F4F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污水处理废气排口</w:t>
            </w:r>
          </w:p>
        </w:tc>
        <w:tc>
          <w:tcPr>
            <w:tcW w:w="1950" w:type="dxa"/>
            <w:vAlign w:val="center"/>
          </w:tcPr>
          <w:p w14:paraId="4842529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氨</w:t>
            </w:r>
          </w:p>
        </w:tc>
        <w:tc>
          <w:tcPr>
            <w:tcW w:w="4559" w:type="dxa"/>
            <w:vAlign w:val="center"/>
          </w:tcPr>
          <w:p w14:paraId="409DA14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紫外可见分光光度计</w:t>
            </w:r>
            <w:r>
              <w:rPr>
                <w:rFonts w:hint="eastAsia" w:ascii="仿宋" w:hAnsi="仿宋" w:eastAsia="仿宋" w:cs="仿宋"/>
                <w:b w:val="0"/>
                <w:bCs w:val="0"/>
                <w:spacing w:val="0"/>
                <w:position w:val="0"/>
                <w:sz w:val="21"/>
                <w:szCs w:val="21"/>
                <w:u w:val="none"/>
                <w:lang w:val="en-US" w:eastAsia="zh-CN"/>
              </w:rPr>
              <w:t>T-2600</w:t>
            </w:r>
          </w:p>
        </w:tc>
        <w:tc>
          <w:tcPr>
            <w:tcW w:w="1403" w:type="dxa"/>
            <w:vMerge w:val="continue"/>
            <w:tcBorders>
              <w:top w:val="nil"/>
              <w:bottom w:val="nil"/>
            </w:tcBorders>
            <w:vAlign w:val="center"/>
          </w:tcPr>
          <w:p w14:paraId="57C9BDB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p>
        </w:tc>
      </w:tr>
      <w:tr w14:paraId="14C7E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159" w:type="dxa"/>
            <w:vMerge w:val="continue"/>
            <w:tcBorders>
              <w:top w:val="nil"/>
              <w:bottom w:val="nil"/>
            </w:tcBorders>
            <w:vAlign w:val="center"/>
          </w:tcPr>
          <w:p w14:paraId="6E7FD79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p>
        </w:tc>
        <w:tc>
          <w:tcPr>
            <w:tcW w:w="1950" w:type="dxa"/>
            <w:vAlign w:val="center"/>
          </w:tcPr>
          <w:p w14:paraId="38B65A2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硫化氢</w:t>
            </w:r>
          </w:p>
        </w:tc>
        <w:tc>
          <w:tcPr>
            <w:tcW w:w="4559" w:type="dxa"/>
            <w:vAlign w:val="center"/>
          </w:tcPr>
          <w:p w14:paraId="7016DB0D">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紫外可见分光光度计</w:t>
            </w:r>
            <w:r>
              <w:rPr>
                <w:rFonts w:hint="eastAsia" w:ascii="仿宋" w:hAnsi="仿宋" w:eastAsia="仿宋" w:cs="仿宋"/>
                <w:b w:val="0"/>
                <w:bCs w:val="0"/>
                <w:spacing w:val="0"/>
                <w:position w:val="0"/>
                <w:sz w:val="21"/>
                <w:szCs w:val="21"/>
                <w:u w:val="none"/>
                <w:lang w:val="en-US" w:eastAsia="zh-CN"/>
              </w:rPr>
              <w:t>T-2600</w:t>
            </w:r>
          </w:p>
        </w:tc>
        <w:tc>
          <w:tcPr>
            <w:tcW w:w="1403" w:type="dxa"/>
            <w:vMerge w:val="continue"/>
            <w:tcBorders>
              <w:top w:val="nil"/>
              <w:bottom w:val="nil"/>
            </w:tcBorders>
            <w:vAlign w:val="center"/>
          </w:tcPr>
          <w:p w14:paraId="1AD8404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p>
        </w:tc>
      </w:tr>
      <w:tr w14:paraId="5C161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1159" w:type="dxa"/>
            <w:vMerge w:val="continue"/>
            <w:tcBorders>
              <w:top w:val="nil"/>
            </w:tcBorders>
            <w:vAlign w:val="center"/>
          </w:tcPr>
          <w:p w14:paraId="1BB6F2D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p>
        </w:tc>
        <w:tc>
          <w:tcPr>
            <w:tcW w:w="1950" w:type="dxa"/>
            <w:vAlign w:val="center"/>
          </w:tcPr>
          <w:p w14:paraId="464F709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臭气浓度</w:t>
            </w:r>
          </w:p>
        </w:tc>
        <w:tc>
          <w:tcPr>
            <w:tcW w:w="4559" w:type="dxa"/>
            <w:vAlign w:val="center"/>
          </w:tcPr>
          <w:p w14:paraId="7B6C4F6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lang w:val="en-US" w:eastAsia="zh-CN"/>
              </w:rPr>
              <w:t>真空气袋采样器JCY-3036</w:t>
            </w:r>
          </w:p>
        </w:tc>
        <w:tc>
          <w:tcPr>
            <w:tcW w:w="1403" w:type="dxa"/>
            <w:vMerge w:val="continue"/>
            <w:tcBorders>
              <w:top w:val="nil"/>
            </w:tcBorders>
            <w:vAlign w:val="center"/>
          </w:tcPr>
          <w:p w14:paraId="1770588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p>
        </w:tc>
      </w:tr>
    </w:tbl>
    <w:p w14:paraId="1E5F7447">
      <w:pPr>
        <w:bidi w:val="0"/>
        <w:jc w:val="center"/>
        <w:rPr>
          <w:rFonts w:hint="eastAsia" w:ascii="仿宋" w:hAnsi="仿宋" w:eastAsia="仿宋" w:cs="仿宋"/>
          <w:b w:val="0"/>
          <w:bCs w:val="0"/>
          <w:u w:val="none"/>
          <w:lang w:val="en-US" w:eastAsia="zh-CN"/>
        </w:rPr>
      </w:pPr>
    </w:p>
    <w:p w14:paraId="645BFC2B">
      <w:pPr>
        <w:spacing w:line="219" w:lineRule="auto"/>
        <w:outlineLvl w:val="1"/>
        <w:rPr>
          <w:rFonts w:hint="eastAsia" w:ascii="仿宋" w:hAnsi="仿宋" w:eastAsia="仿宋" w:cs="仿宋"/>
          <w:b w:val="0"/>
          <w:bCs w:val="0"/>
          <w:sz w:val="31"/>
          <w:szCs w:val="31"/>
          <w:u w:val="none"/>
        </w:rPr>
      </w:pPr>
      <w:r>
        <w:rPr>
          <w:rFonts w:hint="eastAsia" w:ascii="仿宋" w:hAnsi="仿宋" w:eastAsia="仿宋" w:cs="仿宋"/>
          <w:b w:val="0"/>
          <w:bCs w:val="0"/>
          <w:spacing w:val="2"/>
          <w:sz w:val="31"/>
          <w:szCs w:val="31"/>
          <w:u w:val="none"/>
        </w:rPr>
        <w:t>(二)废气无组织排放监测方案</w:t>
      </w:r>
    </w:p>
    <w:p w14:paraId="758AC41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15"/>
          <w:sz w:val="24"/>
          <w:szCs w:val="24"/>
          <w:u w:val="none"/>
          <w:lang w:val="en-US" w:eastAsia="en-US"/>
        </w:rPr>
      </w:pPr>
      <w:r>
        <w:rPr>
          <w:rFonts w:hint="eastAsia" w:ascii="仿宋" w:hAnsi="仿宋" w:eastAsia="仿宋" w:cs="仿宋"/>
          <w:b w:val="0"/>
          <w:bCs w:val="0"/>
          <w:spacing w:val="15"/>
          <w:sz w:val="24"/>
          <w:szCs w:val="24"/>
          <w:u w:val="none"/>
          <w:lang w:val="en-US" w:eastAsia="en-US"/>
        </w:rPr>
        <w:t>1、废气无组织监测项目及监测频次见表5。</w:t>
      </w:r>
    </w:p>
    <w:p w14:paraId="7B7FEB43">
      <w:pPr>
        <w:pStyle w:val="7"/>
        <w:keepNext w:val="0"/>
        <w:keepLines w:val="0"/>
        <w:pageBreakBefore w:val="0"/>
        <w:widowControl/>
        <w:kinsoku w:val="0"/>
        <w:wordWrap/>
        <w:overflowPunct/>
        <w:topLinePunct w:val="0"/>
        <w:autoSpaceDE w:val="0"/>
        <w:autoSpaceDN w:val="0"/>
        <w:bidi w:val="0"/>
        <w:adjustRightInd w:val="0"/>
        <w:snapToGrid w:val="0"/>
        <w:spacing w:before="122" w:line="219" w:lineRule="auto"/>
        <w:ind w:left="0"/>
        <w:jc w:val="center"/>
        <w:textAlignment w:val="baseline"/>
        <w:rPr>
          <w:rFonts w:hint="eastAsia" w:ascii="仿宋" w:hAnsi="仿宋" w:eastAsia="仿宋" w:cs="仿宋"/>
          <w:b w:val="0"/>
          <w:bCs w:val="0"/>
          <w:snapToGrid w:val="0"/>
          <w:color w:val="000000"/>
          <w:spacing w:val="0"/>
          <w:kern w:val="0"/>
          <w:position w:val="0"/>
          <w:sz w:val="24"/>
          <w:szCs w:val="24"/>
          <w:u w:val="none"/>
          <w:lang w:val="en-US" w:eastAsia="zh-CN" w:bidi="ar-SA"/>
        </w:rPr>
      </w:pPr>
      <w:r>
        <w:rPr>
          <w:rFonts w:hint="eastAsia" w:ascii="仿宋" w:hAnsi="仿宋" w:eastAsia="仿宋" w:cs="仿宋"/>
          <w:b w:val="0"/>
          <w:bCs w:val="0"/>
          <w:snapToGrid w:val="0"/>
          <w:color w:val="000000"/>
          <w:spacing w:val="0"/>
          <w:kern w:val="0"/>
          <w:position w:val="0"/>
          <w:sz w:val="24"/>
          <w:szCs w:val="24"/>
          <w:u w:val="none"/>
          <w:lang w:val="en-US" w:eastAsia="zh-CN" w:bidi="ar-SA"/>
        </w:rPr>
        <w:t>表5 废气无组织污染源监测内容一览表</w:t>
      </w:r>
    </w:p>
    <w:tbl>
      <w:tblPr>
        <w:tblStyle w:val="31"/>
        <w:tblpPr w:leftFromText="180" w:rightFromText="180" w:vertAnchor="text" w:horzAnchor="page" w:tblpXSpec="center" w:tblpY="54"/>
        <w:tblOverlap w:val="never"/>
        <w:tblW w:w="90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7"/>
        <w:gridCol w:w="1447"/>
        <w:gridCol w:w="1679"/>
        <w:gridCol w:w="1563"/>
        <w:gridCol w:w="1470"/>
        <w:gridCol w:w="1696"/>
      </w:tblGrid>
      <w:tr w14:paraId="3199E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1187" w:type="dxa"/>
            <w:vAlign w:val="center"/>
          </w:tcPr>
          <w:p w14:paraId="6F5F75C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类型</w:t>
            </w:r>
          </w:p>
        </w:tc>
        <w:tc>
          <w:tcPr>
            <w:tcW w:w="1447" w:type="dxa"/>
            <w:vAlign w:val="center"/>
          </w:tcPr>
          <w:p w14:paraId="0F439ED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排放源</w:t>
            </w:r>
          </w:p>
        </w:tc>
        <w:tc>
          <w:tcPr>
            <w:tcW w:w="1679" w:type="dxa"/>
            <w:vAlign w:val="center"/>
          </w:tcPr>
          <w:p w14:paraId="692DCBE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监测项目</w:t>
            </w:r>
          </w:p>
        </w:tc>
        <w:tc>
          <w:tcPr>
            <w:tcW w:w="1563" w:type="dxa"/>
            <w:vAlign w:val="center"/>
          </w:tcPr>
          <w:p w14:paraId="3457C88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监测点位</w:t>
            </w:r>
          </w:p>
        </w:tc>
        <w:tc>
          <w:tcPr>
            <w:tcW w:w="1470" w:type="dxa"/>
            <w:vAlign w:val="center"/>
          </w:tcPr>
          <w:p w14:paraId="7DD4BFD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监测频次</w:t>
            </w:r>
          </w:p>
        </w:tc>
        <w:tc>
          <w:tcPr>
            <w:tcW w:w="1696" w:type="dxa"/>
            <w:vAlign w:val="center"/>
          </w:tcPr>
          <w:p w14:paraId="2399856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监测方式</w:t>
            </w:r>
          </w:p>
        </w:tc>
      </w:tr>
      <w:tr w14:paraId="3269E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jc w:val="center"/>
        </w:trPr>
        <w:tc>
          <w:tcPr>
            <w:tcW w:w="1187" w:type="dxa"/>
            <w:vMerge w:val="restart"/>
            <w:tcBorders>
              <w:bottom w:val="nil"/>
            </w:tcBorders>
            <w:vAlign w:val="center"/>
          </w:tcPr>
          <w:p w14:paraId="6C7DF19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废气无组织排放</w:t>
            </w:r>
          </w:p>
        </w:tc>
        <w:tc>
          <w:tcPr>
            <w:tcW w:w="1447" w:type="dxa"/>
            <w:vMerge w:val="restart"/>
            <w:vAlign w:val="center"/>
          </w:tcPr>
          <w:p w14:paraId="48A0BBD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lang w:val="en-US" w:eastAsia="zh-CN"/>
              </w:rPr>
            </w:pPr>
            <w:r>
              <w:rPr>
                <w:rFonts w:hint="eastAsia" w:ascii="仿宋" w:hAnsi="仿宋" w:eastAsia="仿宋" w:cs="仿宋"/>
                <w:b w:val="0"/>
                <w:bCs w:val="0"/>
                <w:spacing w:val="0"/>
                <w:position w:val="0"/>
                <w:sz w:val="21"/>
                <w:szCs w:val="21"/>
                <w:u w:val="none"/>
                <w:lang w:val="en-US" w:eastAsia="zh-CN"/>
              </w:rPr>
              <w:t>污水处理站周界</w:t>
            </w:r>
          </w:p>
        </w:tc>
        <w:tc>
          <w:tcPr>
            <w:tcW w:w="1679" w:type="dxa"/>
            <w:vAlign w:val="center"/>
          </w:tcPr>
          <w:p w14:paraId="775F4150">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氨(氨气)</w:t>
            </w:r>
          </w:p>
        </w:tc>
        <w:tc>
          <w:tcPr>
            <w:tcW w:w="1563" w:type="dxa"/>
            <w:vMerge w:val="restart"/>
            <w:tcBorders>
              <w:bottom w:val="nil"/>
            </w:tcBorders>
            <w:vAlign w:val="center"/>
          </w:tcPr>
          <w:p w14:paraId="49F4249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p>
          <w:p w14:paraId="0D65E19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污水处理站</w:t>
            </w:r>
          </w:p>
          <w:p w14:paraId="25BCF8B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周界上风向</w:t>
            </w:r>
          </w:p>
          <w:p w14:paraId="485B9F60">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1个、下风</w:t>
            </w:r>
          </w:p>
          <w:p w14:paraId="3EFFF62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向 3 个</w:t>
            </w:r>
          </w:p>
        </w:tc>
        <w:tc>
          <w:tcPr>
            <w:tcW w:w="1470" w:type="dxa"/>
            <w:vAlign w:val="center"/>
          </w:tcPr>
          <w:p w14:paraId="76A6EE70">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1次/季</w:t>
            </w:r>
          </w:p>
        </w:tc>
        <w:tc>
          <w:tcPr>
            <w:tcW w:w="1696" w:type="dxa"/>
            <w:vAlign w:val="center"/>
          </w:tcPr>
          <w:p w14:paraId="61D1AD9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手工监测</w:t>
            </w:r>
          </w:p>
        </w:tc>
      </w:tr>
      <w:tr w14:paraId="505A0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jc w:val="center"/>
        </w:trPr>
        <w:tc>
          <w:tcPr>
            <w:tcW w:w="1187" w:type="dxa"/>
            <w:vMerge w:val="continue"/>
            <w:tcBorders>
              <w:top w:val="nil"/>
              <w:bottom w:val="nil"/>
            </w:tcBorders>
            <w:vAlign w:val="center"/>
          </w:tcPr>
          <w:p w14:paraId="7D8136D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p>
        </w:tc>
        <w:tc>
          <w:tcPr>
            <w:tcW w:w="1447" w:type="dxa"/>
            <w:vMerge w:val="continue"/>
            <w:vAlign w:val="center"/>
          </w:tcPr>
          <w:p w14:paraId="6172958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p>
        </w:tc>
        <w:tc>
          <w:tcPr>
            <w:tcW w:w="1679" w:type="dxa"/>
            <w:vAlign w:val="center"/>
          </w:tcPr>
          <w:p w14:paraId="7083C2C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硫化氢</w:t>
            </w:r>
          </w:p>
        </w:tc>
        <w:tc>
          <w:tcPr>
            <w:tcW w:w="1563" w:type="dxa"/>
            <w:vMerge w:val="continue"/>
            <w:tcBorders>
              <w:top w:val="nil"/>
              <w:bottom w:val="nil"/>
            </w:tcBorders>
            <w:vAlign w:val="center"/>
          </w:tcPr>
          <w:p w14:paraId="3396B97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p>
        </w:tc>
        <w:tc>
          <w:tcPr>
            <w:tcW w:w="1470" w:type="dxa"/>
            <w:vAlign w:val="center"/>
          </w:tcPr>
          <w:p w14:paraId="20A8BE3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1次/季</w:t>
            </w:r>
          </w:p>
        </w:tc>
        <w:tc>
          <w:tcPr>
            <w:tcW w:w="1696" w:type="dxa"/>
            <w:vAlign w:val="center"/>
          </w:tcPr>
          <w:p w14:paraId="46FE745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手工监测</w:t>
            </w:r>
          </w:p>
        </w:tc>
      </w:tr>
      <w:tr w14:paraId="56778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1187" w:type="dxa"/>
            <w:vMerge w:val="continue"/>
            <w:tcBorders>
              <w:top w:val="nil"/>
              <w:bottom w:val="nil"/>
            </w:tcBorders>
            <w:vAlign w:val="center"/>
          </w:tcPr>
          <w:p w14:paraId="2232E600">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p>
        </w:tc>
        <w:tc>
          <w:tcPr>
            <w:tcW w:w="1447" w:type="dxa"/>
            <w:vMerge w:val="continue"/>
            <w:vAlign w:val="center"/>
          </w:tcPr>
          <w:p w14:paraId="388C00B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p>
        </w:tc>
        <w:tc>
          <w:tcPr>
            <w:tcW w:w="1679" w:type="dxa"/>
            <w:vAlign w:val="center"/>
          </w:tcPr>
          <w:p w14:paraId="166DDB0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臭气浓度</w:t>
            </w:r>
          </w:p>
        </w:tc>
        <w:tc>
          <w:tcPr>
            <w:tcW w:w="1563" w:type="dxa"/>
            <w:vMerge w:val="continue"/>
            <w:tcBorders>
              <w:top w:val="nil"/>
              <w:bottom w:val="nil"/>
            </w:tcBorders>
            <w:vAlign w:val="center"/>
          </w:tcPr>
          <w:p w14:paraId="6EED939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p>
        </w:tc>
        <w:tc>
          <w:tcPr>
            <w:tcW w:w="1470" w:type="dxa"/>
            <w:vAlign w:val="center"/>
          </w:tcPr>
          <w:p w14:paraId="0746870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1次/季</w:t>
            </w:r>
          </w:p>
        </w:tc>
        <w:tc>
          <w:tcPr>
            <w:tcW w:w="1696" w:type="dxa"/>
            <w:vAlign w:val="center"/>
          </w:tcPr>
          <w:p w14:paraId="3D6D9FA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手工监测</w:t>
            </w:r>
          </w:p>
        </w:tc>
      </w:tr>
      <w:tr w14:paraId="53B43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jc w:val="center"/>
        </w:trPr>
        <w:tc>
          <w:tcPr>
            <w:tcW w:w="1187" w:type="dxa"/>
            <w:vMerge w:val="continue"/>
            <w:tcBorders>
              <w:top w:val="nil"/>
              <w:bottom w:val="nil"/>
            </w:tcBorders>
            <w:vAlign w:val="center"/>
          </w:tcPr>
          <w:p w14:paraId="5262156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p>
        </w:tc>
        <w:tc>
          <w:tcPr>
            <w:tcW w:w="1447" w:type="dxa"/>
            <w:vMerge w:val="continue"/>
            <w:vAlign w:val="center"/>
          </w:tcPr>
          <w:p w14:paraId="24B85E9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p>
        </w:tc>
        <w:tc>
          <w:tcPr>
            <w:tcW w:w="1679" w:type="dxa"/>
            <w:vAlign w:val="center"/>
          </w:tcPr>
          <w:p w14:paraId="010B73E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氯</w:t>
            </w:r>
          </w:p>
        </w:tc>
        <w:tc>
          <w:tcPr>
            <w:tcW w:w="1563" w:type="dxa"/>
            <w:vMerge w:val="continue"/>
            <w:tcBorders>
              <w:top w:val="nil"/>
              <w:bottom w:val="nil"/>
            </w:tcBorders>
            <w:vAlign w:val="center"/>
          </w:tcPr>
          <w:p w14:paraId="62D9AC0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p>
        </w:tc>
        <w:tc>
          <w:tcPr>
            <w:tcW w:w="1470" w:type="dxa"/>
            <w:vAlign w:val="center"/>
          </w:tcPr>
          <w:p w14:paraId="3D8A0CF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1次/季</w:t>
            </w:r>
          </w:p>
        </w:tc>
        <w:tc>
          <w:tcPr>
            <w:tcW w:w="1696" w:type="dxa"/>
            <w:vAlign w:val="center"/>
          </w:tcPr>
          <w:p w14:paraId="1943DC5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手工监测</w:t>
            </w:r>
          </w:p>
        </w:tc>
      </w:tr>
      <w:tr w14:paraId="3945E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1187" w:type="dxa"/>
            <w:vMerge w:val="continue"/>
            <w:tcBorders>
              <w:top w:val="nil"/>
            </w:tcBorders>
            <w:vAlign w:val="center"/>
          </w:tcPr>
          <w:p w14:paraId="3018562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p>
        </w:tc>
        <w:tc>
          <w:tcPr>
            <w:tcW w:w="1447" w:type="dxa"/>
            <w:vMerge w:val="continue"/>
            <w:vAlign w:val="center"/>
          </w:tcPr>
          <w:p w14:paraId="47BAFFD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p>
        </w:tc>
        <w:tc>
          <w:tcPr>
            <w:tcW w:w="1679" w:type="dxa"/>
            <w:vAlign w:val="center"/>
          </w:tcPr>
          <w:p w14:paraId="2FB7464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甲烷</w:t>
            </w:r>
          </w:p>
        </w:tc>
        <w:tc>
          <w:tcPr>
            <w:tcW w:w="1563" w:type="dxa"/>
            <w:vMerge w:val="continue"/>
            <w:tcBorders>
              <w:top w:val="nil"/>
            </w:tcBorders>
            <w:vAlign w:val="center"/>
          </w:tcPr>
          <w:p w14:paraId="4128788D">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p>
        </w:tc>
        <w:tc>
          <w:tcPr>
            <w:tcW w:w="1470" w:type="dxa"/>
            <w:vAlign w:val="center"/>
          </w:tcPr>
          <w:p w14:paraId="4E69F7AD">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1次/季</w:t>
            </w:r>
          </w:p>
        </w:tc>
        <w:tc>
          <w:tcPr>
            <w:tcW w:w="1696" w:type="dxa"/>
            <w:vAlign w:val="center"/>
          </w:tcPr>
          <w:p w14:paraId="4801507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手工监测</w:t>
            </w:r>
          </w:p>
        </w:tc>
      </w:tr>
    </w:tbl>
    <w:p w14:paraId="224DAA52">
      <w:pPr>
        <w:spacing w:before="14" w:line="219" w:lineRule="auto"/>
        <w:rPr>
          <w:rFonts w:hint="eastAsia" w:ascii="仿宋" w:hAnsi="仿宋" w:eastAsia="仿宋" w:cs="仿宋"/>
          <w:b w:val="0"/>
          <w:bCs w:val="0"/>
          <w:sz w:val="23"/>
          <w:szCs w:val="23"/>
          <w:u w:val="none"/>
        </w:rPr>
      </w:pPr>
      <w:r>
        <w:rPr>
          <w:rFonts w:hint="eastAsia" w:ascii="仿宋" w:hAnsi="仿宋" w:eastAsia="仿宋" w:cs="仿宋"/>
          <w:b w:val="0"/>
          <w:bCs w:val="0"/>
          <w:sz w:val="23"/>
          <w:szCs w:val="23"/>
          <w:u w:val="none"/>
        </w:rPr>
        <w:t>注：监测同时同步监测风向、风速、气压、</w:t>
      </w:r>
      <w:r>
        <w:rPr>
          <w:rFonts w:hint="eastAsia" w:ascii="仿宋" w:hAnsi="仿宋" w:eastAsia="仿宋" w:cs="仿宋"/>
          <w:b w:val="0"/>
          <w:bCs w:val="0"/>
          <w:spacing w:val="-1"/>
          <w:sz w:val="23"/>
          <w:szCs w:val="23"/>
          <w:u w:val="none"/>
        </w:rPr>
        <w:t>气温、湿度等气象参数</w:t>
      </w:r>
    </w:p>
    <w:p w14:paraId="18FE24D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15"/>
          <w:sz w:val="24"/>
          <w:szCs w:val="24"/>
          <w:u w:val="none"/>
          <w:lang w:val="en-US" w:eastAsia="en-US"/>
        </w:rPr>
      </w:pPr>
      <w:r>
        <w:rPr>
          <w:rFonts w:hint="eastAsia" w:ascii="仿宋" w:hAnsi="仿宋" w:eastAsia="仿宋" w:cs="仿宋"/>
          <w:b w:val="0"/>
          <w:bCs w:val="0"/>
          <w:spacing w:val="15"/>
          <w:sz w:val="24"/>
          <w:szCs w:val="24"/>
          <w:u w:val="none"/>
          <w:lang w:val="en-US" w:eastAsia="en-US"/>
        </w:rPr>
        <w:t>2、废气无组织排放监测方法及依据情况见表6。</w:t>
      </w:r>
    </w:p>
    <w:p w14:paraId="4F21C345">
      <w:pPr>
        <w:pStyle w:val="7"/>
        <w:keepNext w:val="0"/>
        <w:keepLines w:val="0"/>
        <w:pageBreakBefore w:val="0"/>
        <w:widowControl/>
        <w:kinsoku w:val="0"/>
        <w:wordWrap/>
        <w:overflowPunct/>
        <w:topLinePunct w:val="0"/>
        <w:autoSpaceDE w:val="0"/>
        <w:autoSpaceDN w:val="0"/>
        <w:bidi w:val="0"/>
        <w:adjustRightInd w:val="0"/>
        <w:snapToGrid w:val="0"/>
        <w:spacing w:before="122" w:line="219" w:lineRule="auto"/>
        <w:ind w:left="0"/>
        <w:jc w:val="center"/>
        <w:textAlignment w:val="baseline"/>
        <w:rPr>
          <w:rFonts w:hint="eastAsia" w:ascii="仿宋" w:hAnsi="仿宋" w:eastAsia="仿宋" w:cs="仿宋"/>
          <w:b w:val="0"/>
          <w:bCs w:val="0"/>
          <w:snapToGrid w:val="0"/>
          <w:color w:val="000000"/>
          <w:spacing w:val="0"/>
          <w:kern w:val="0"/>
          <w:position w:val="0"/>
          <w:sz w:val="24"/>
          <w:szCs w:val="24"/>
          <w:u w:val="none"/>
          <w:lang w:val="en-US" w:eastAsia="zh-CN" w:bidi="ar-SA"/>
        </w:rPr>
      </w:pPr>
      <w:r>
        <w:rPr>
          <w:rFonts w:hint="eastAsia" w:ascii="仿宋" w:hAnsi="仿宋" w:eastAsia="仿宋" w:cs="仿宋"/>
          <w:b w:val="0"/>
          <w:bCs w:val="0"/>
          <w:snapToGrid w:val="0"/>
          <w:color w:val="000000"/>
          <w:spacing w:val="0"/>
          <w:kern w:val="0"/>
          <w:position w:val="0"/>
          <w:sz w:val="24"/>
          <w:szCs w:val="24"/>
          <w:u w:val="none"/>
          <w:lang w:val="en-US" w:eastAsia="zh-CN" w:bidi="ar-SA"/>
        </w:rPr>
        <w:t>表6 废气无组织排放监测方法及依据一览表</w:t>
      </w:r>
    </w:p>
    <w:p w14:paraId="3DC85D40">
      <w:pPr>
        <w:spacing w:line="34" w:lineRule="exact"/>
        <w:rPr>
          <w:rFonts w:hint="eastAsia" w:ascii="仿宋" w:hAnsi="仿宋" w:eastAsia="仿宋" w:cs="仿宋"/>
          <w:b w:val="0"/>
          <w:bCs w:val="0"/>
          <w:u w:val="none"/>
        </w:rPr>
      </w:pPr>
    </w:p>
    <w:tbl>
      <w:tblPr>
        <w:tblStyle w:val="31"/>
        <w:tblW w:w="90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9"/>
        <w:gridCol w:w="1651"/>
        <w:gridCol w:w="4604"/>
        <w:gridCol w:w="1148"/>
      </w:tblGrid>
      <w:tr w14:paraId="4B576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1639" w:type="dxa"/>
            <w:vAlign w:val="center"/>
          </w:tcPr>
          <w:p w14:paraId="00F9869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序号</w:t>
            </w:r>
          </w:p>
        </w:tc>
        <w:tc>
          <w:tcPr>
            <w:tcW w:w="1651" w:type="dxa"/>
            <w:vAlign w:val="center"/>
          </w:tcPr>
          <w:p w14:paraId="3659116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监测项目</w:t>
            </w:r>
          </w:p>
        </w:tc>
        <w:tc>
          <w:tcPr>
            <w:tcW w:w="4604" w:type="dxa"/>
            <w:vAlign w:val="center"/>
          </w:tcPr>
          <w:p w14:paraId="4C4B531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监测方法及依据</w:t>
            </w:r>
          </w:p>
        </w:tc>
        <w:tc>
          <w:tcPr>
            <w:tcW w:w="1148" w:type="dxa"/>
            <w:vAlign w:val="top"/>
          </w:tcPr>
          <w:p w14:paraId="41E809E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备注</w:t>
            </w:r>
          </w:p>
        </w:tc>
      </w:tr>
      <w:tr w14:paraId="1AD12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1639" w:type="dxa"/>
            <w:vAlign w:val="center"/>
          </w:tcPr>
          <w:p w14:paraId="7F5009B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1</w:t>
            </w:r>
          </w:p>
        </w:tc>
        <w:tc>
          <w:tcPr>
            <w:tcW w:w="1651" w:type="dxa"/>
            <w:vAlign w:val="center"/>
          </w:tcPr>
          <w:p w14:paraId="4EFE12B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氨(氨气)</w:t>
            </w:r>
          </w:p>
        </w:tc>
        <w:tc>
          <w:tcPr>
            <w:tcW w:w="4604" w:type="dxa"/>
            <w:vAlign w:val="center"/>
          </w:tcPr>
          <w:p w14:paraId="24E87F70">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环境空气氨的测定次氯酸钠-水杨酸分光光度法HJ534-2009</w:t>
            </w:r>
          </w:p>
        </w:tc>
        <w:tc>
          <w:tcPr>
            <w:tcW w:w="1148" w:type="dxa"/>
            <w:vAlign w:val="center"/>
          </w:tcPr>
          <w:p w14:paraId="007BF26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第三方检测</w:t>
            </w:r>
          </w:p>
        </w:tc>
      </w:tr>
      <w:tr w14:paraId="704AB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1639" w:type="dxa"/>
            <w:vAlign w:val="center"/>
          </w:tcPr>
          <w:p w14:paraId="56C716E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2</w:t>
            </w:r>
          </w:p>
        </w:tc>
        <w:tc>
          <w:tcPr>
            <w:tcW w:w="1651" w:type="dxa"/>
            <w:vAlign w:val="center"/>
          </w:tcPr>
          <w:p w14:paraId="23455CE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硫化氢</w:t>
            </w:r>
          </w:p>
        </w:tc>
        <w:tc>
          <w:tcPr>
            <w:tcW w:w="4604" w:type="dxa"/>
            <w:vAlign w:val="center"/>
          </w:tcPr>
          <w:p w14:paraId="78C4AF1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lang w:eastAsia="zh-CN"/>
              </w:rPr>
            </w:pPr>
            <w:r>
              <w:rPr>
                <w:rFonts w:hint="eastAsia" w:ascii="仿宋" w:hAnsi="仿宋" w:eastAsia="仿宋" w:cs="仿宋"/>
                <w:b w:val="0"/>
                <w:bCs w:val="0"/>
                <w:spacing w:val="0"/>
                <w:position w:val="0"/>
                <w:sz w:val="21"/>
                <w:szCs w:val="21"/>
                <w:u w:val="none"/>
              </w:rPr>
              <w:t>《空气和废气监测分析方法》(第四版增补版)国家环境保护总局</w:t>
            </w:r>
            <w:r>
              <w:rPr>
                <w:rFonts w:hint="eastAsia" w:ascii="仿宋" w:hAnsi="仿宋" w:eastAsia="仿宋" w:cs="仿宋"/>
                <w:b w:val="0"/>
                <w:bCs w:val="0"/>
                <w:spacing w:val="0"/>
                <w:position w:val="0"/>
                <w:sz w:val="21"/>
                <w:szCs w:val="21"/>
                <w:u w:val="none"/>
                <w:lang w:eastAsia="zh-CN"/>
              </w:rPr>
              <w:t>（</w:t>
            </w:r>
            <w:r>
              <w:rPr>
                <w:rFonts w:hint="eastAsia" w:ascii="仿宋" w:hAnsi="仿宋" w:eastAsia="仿宋" w:cs="仿宋"/>
                <w:b w:val="0"/>
                <w:bCs w:val="0"/>
                <w:spacing w:val="0"/>
                <w:position w:val="0"/>
                <w:sz w:val="21"/>
                <w:szCs w:val="21"/>
                <w:u w:val="none"/>
              </w:rPr>
              <w:t>2003</w:t>
            </w:r>
            <w:r>
              <w:rPr>
                <w:rFonts w:hint="eastAsia" w:ascii="仿宋" w:hAnsi="仿宋" w:eastAsia="仿宋" w:cs="仿宋"/>
                <w:b w:val="0"/>
                <w:bCs w:val="0"/>
                <w:spacing w:val="0"/>
                <w:position w:val="0"/>
                <w:sz w:val="21"/>
                <w:szCs w:val="21"/>
                <w:u w:val="none"/>
                <w:lang w:eastAsia="zh-CN"/>
              </w:rPr>
              <w:t>）</w:t>
            </w:r>
            <w:r>
              <w:rPr>
                <w:rFonts w:hint="eastAsia" w:ascii="仿宋" w:hAnsi="仿宋" w:eastAsia="仿宋" w:cs="仿宋"/>
                <w:b w:val="0"/>
                <w:bCs w:val="0"/>
                <w:spacing w:val="0"/>
                <w:position w:val="0"/>
                <w:sz w:val="21"/>
                <w:szCs w:val="21"/>
                <w:u w:val="none"/>
              </w:rPr>
              <w:fldChar w:fldCharType="begin"/>
            </w:r>
            <w:r>
              <w:rPr>
                <w:rFonts w:hint="eastAsia" w:ascii="仿宋" w:hAnsi="仿宋" w:eastAsia="仿宋" w:cs="仿宋"/>
                <w:b w:val="0"/>
                <w:bCs w:val="0"/>
                <w:spacing w:val="0"/>
                <w:position w:val="0"/>
                <w:sz w:val="21"/>
                <w:szCs w:val="21"/>
                <w:u w:val="none"/>
              </w:rPr>
              <w:instrText xml:space="preserve"> HYPERLINK "3.1.11.2" </w:instrText>
            </w:r>
            <w:r>
              <w:rPr>
                <w:rFonts w:hint="eastAsia" w:ascii="仿宋" w:hAnsi="仿宋" w:eastAsia="仿宋" w:cs="仿宋"/>
                <w:b w:val="0"/>
                <w:bCs w:val="0"/>
                <w:spacing w:val="0"/>
                <w:position w:val="0"/>
                <w:sz w:val="21"/>
                <w:szCs w:val="21"/>
                <w:u w:val="none"/>
              </w:rPr>
              <w:fldChar w:fldCharType="separate"/>
            </w:r>
            <w:r>
              <w:rPr>
                <w:rFonts w:hint="eastAsia" w:ascii="仿宋" w:hAnsi="仿宋" w:eastAsia="仿宋" w:cs="仿宋"/>
                <w:b w:val="0"/>
                <w:bCs w:val="0"/>
                <w:spacing w:val="0"/>
                <w:position w:val="0"/>
                <w:sz w:val="21"/>
                <w:szCs w:val="21"/>
                <w:u w:val="none"/>
              </w:rPr>
              <w:t>3.1.11.2</w:t>
            </w:r>
            <w:r>
              <w:rPr>
                <w:rFonts w:hint="eastAsia" w:ascii="仿宋" w:hAnsi="仿宋" w:eastAsia="仿宋" w:cs="仿宋"/>
                <w:b w:val="0"/>
                <w:bCs w:val="0"/>
                <w:spacing w:val="0"/>
                <w:position w:val="0"/>
                <w:sz w:val="21"/>
                <w:szCs w:val="21"/>
                <w:u w:val="none"/>
              </w:rPr>
              <w:fldChar w:fldCharType="end"/>
            </w:r>
            <w:r>
              <w:rPr>
                <w:rFonts w:hint="eastAsia" w:ascii="仿宋" w:hAnsi="仿宋" w:eastAsia="仿宋" w:cs="仿宋"/>
                <w:b w:val="0"/>
                <w:bCs w:val="0"/>
                <w:spacing w:val="0"/>
                <w:position w:val="0"/>
                <w:sz w:val="21"/>
                <w:szCs w:val="21"/>
                <w:u w:val="none"/>
              </w:rPr>
              <w:t>空气质量监测亚甲基蓝分光光度法</w:t>
            </w:r>
          </w:p>
        </w:tc>
        <w:tc>
          <w:tcPr>
            <w:tcW w:w="1148" w:type="dxa"/>
            <w:vAlign w:val="center"/>
          </w:tcPr>
          <w:p w14:paraId="7976F3A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lang w:val="en-US" w:eastAsia="zh-CN"/>
              </w:rPr>
              <w:t>第三方</w:t>
            </w:r>
            <w:r>
              <w:rPr>
                <w:rFonts w:hint="eastAsia" w:ascii="仿宋" w:hAnsi="仿宋" w:eastAsia="仿宋" w:cs="仿宋"/>
                <w:b w:val="0"/>
                <w:bCs w:val="0"/>
                <w:spacing w:val="0"/>
                <w:position w:val="0"/>
                <w:sz w:val="21"/>
                <w:szCs w:val="21"/>
                <w:u w:val="none"/>
              </w:rPr>
              <w:t>检测</w:t>
            </w:r>
          </w:p>
        </w:tc>
      </w:tr>
      <w:tr w14:paraId="0F319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1639" w:type="dxa"/>
            <w:vAlign w:val="center"/>
          </w:tcPr>
          <w:p w14:paraId="269E315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3</w:t>
            </w:r>
          </w:p>
        </w:tc>
        <w:tc>
          <w:tcPr>
            <w:tcW w:w="1651" w:type="dxa"/>
            <w:vAlign w:val="center"/>
          </w:tcPr>
          <w:p w14:paraId="0828A09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臭气浓度</w:t>
            </w:r>
          </w:p>
        </w:tc>
        <w:tc>
          <w:tcPr>
            <w:tcW w:w="4604" w:type="dxa"/>
            <w:vAlign w:val="center"/>
          </w:tcPr>
          <w:p w14:paraId="22189B8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空气质量恶臭的测定三点比 较式臭袋法</w:t>
            </w:r>
            <w:r>
              <w:rPr>
                <w:rFonts w:hint="eastAsia" w:ascii="仿宋" w:hAnsi="仿宋" w:eastAsia="仿宋" w:cs="仿宋"/>
                <w:b w:val="0"/>
                <w:bCs w:val="0"/>
                <w:spacing w:val="0"/>
                <w:position w:val="0"/>
                <w:sz w:val="21"/>
                <w:szCs w:val="21"/>
                <w:u w:val="none"/>
                <w:lang w:val="en-US" w:eastAsia="zh-CN"/>
              </w:rPr>
              <w:t>HJ1262-2022</w:t>
            </w:r>
          </w:p>
        </w:tc>
        <w:tc>
          <w:tcPr>
            <w:tcW w:w="1148" w:type="dxa"/>
            <w:vAlign w:val="center"/>
          </w:tcPr>
          <w:p w14:paraId="1C802E4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第三方检测</w:t>
            </w:r>
          </w:p>
        </w:tc>
      </w:tr>
      <w:tr w14:paraId="28AA0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1639" w:type="dxa"/>
            <w:vAlign w:val="center"/>
          </w:tcPr>
          <w:p w14:paraId="02A4F05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4</w:t>
            </w:r>
          </w:p>
        </w:tc>
        <w:tc>
          <w:tcPr>
            <w:tcW w:w="1651" w:type="dxa"/>
            <w:vAlign w:val="center"/>
          </w:tcPr>
          <w:p w14:paraId="67FEEC5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氯</w:t>
            </w:r>
          </w:p>
        </w:tc>
        <w:tc>
          <w:tcPr>
            <w:tcW w:w="4604" w:type="dxa"/>
            <w:vAlign w:val="center"/>
          </w:tcPr>
          <w:p w14:paraId="3CCBA90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《固定污染源排气中氯气的测定 甲基橙分光光度法》HJ/T30-1999</w:t>
            </w:r>
          </w:p>
        </w:tc>
        <w:tc>
          <w:tcPr>
            <w:tcW w:w="1148" w:type="dxa"/>
            <w:vAlign w:val="center"/>
          </w:tcPr>
          <w:p w14:paraId="5FC9EE80">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第三方检测</w:t>
            </w:r>
          </w:p>
        </w:tc>
      </w:tr>
      <w:tr w14:paraId="6B33E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1639" w:type="dxa"/>
            <w:vAlign w:val="center"/>
          </w:tcPr>
          <w:p w14:paraId="5AAB784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5</w:t>
            </w:r>
          </w:p>
        </w:tc>
        <w:tc>
          <w:tcPr>
            <w:tcW w:w="1651" w:type="dxa"/>
            <w:vAlign w:val="center"/>
          </w:tcPr>
          <w:p w14:paraId="64F7C37D">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甲烷</w:t>
            </w:r>
          </w:p>
        </w:tc>
        <w:tc>
          <w:tcPr>
            <w:tcW w:w="4604" w:type="dxa"/>
            <w:vAlign w:val="center"/>
          </w:tcPr>
          <w:p w14:paraId="22CBCEB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《环境空气总烃、甲烷和非甲烷总烃的测定 直接进样-气相色谱法》HJ604-2017</w:t>
            </w:r>
          </w:p>
        </w:tc>
        <w:tc>
          <w:tcPr>
            <w:tcW w:w="1148" w:type="dxa"/>
            <w:vAlign w:val="center"/>
          </w:tcPr>
          <w:p w14:paraId="34E735B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第三方检测</w:t>
            </w:r>
          </w:p>
        </w:tc>
      </w:tr>
    </w:tbl>
    <w:p w14:paraId="5D9D49B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15"/>
          <w:sz w:val="24"/>
          <w:szCs w:val="24"/>
          <w:u w:val="none"/>
          <w:lang w:val="en-US" w:eastAsia="en-US"/>
        </w:rPr>
      </w:pPr>
      <w:r>
        <w:rPr>
          <w:rFonts w:hint="eastAsia" w:ascii="仿宋" w:hAnsi="仿宋" w:eastAsia="仿宋" w:cs="仿宋"/>
          <w:b w:val="0"/>
          <w:bCs w:val="0"/>
          <w:spacing w:val="15"/>
          <w:sz w:val="24"/>
          <w:szCs w:val="24"/>
          <w:u w:val="none"/>
          <w:lang w:val="en-US" w:eastAsia="en-US"/>
        </w:rPr>
        <w:t>3、废气无组织排放监测结果执行标准见表7。</w:t>
      </w:r>
    </w:p>
    <w:p w14:paraId="22CC8B84">
      <w:pPr>
        <w:pStyle w:val="7"/>
        <w:keepNext w:val="0"/>
        <w:keepLines w:val="0"/>
        <w:pageBreakBefore w:val="0"/>
        <w:widowControl/>
        <w:kinsoku w:val="0"/>
        <w:wordWrap/>
        <w:overflowPunct/>
        <w:topLinePunct w:val="0"/>
        <w:autoSpaceDE w:val="0"/>
        <w:autoSpaceDN w:val="0"/>
        <w:bidi w:val="0"/>
        <w:adjustRightInd w:val="0"/>
        <w:snapToGrid w:val="0"/>
        <w:spacing w:before="122" w:line="219" w:lineRule="auto"/>
        <w:ind w:left="0"/>
        <w:jc w:val="center"/>
        <w:textAlignment w:val="baseline"/>
        <w:rPr>
          <w:rFonts w:hint="eastAsia" w:ascii="仿宋" w:hAnsi="仿宋" w:eastAsia="仿宋" w:cs="仿宋"/>
          <w:b w:val="0"/>
          <w:bCs w:val="0"/>
          <w:snapToGrid w:val="0"/>
          <w:color w:val="000000"/>
          <w:spacing w:val="0"/>
          <w:kern w:val="0"/>
          <w:position w:val="0"/>
          <w:sz w:val="24"/>
          <w:szCs w:val="24"/>
          <w:u w:val="none"/>
          <w:lang w:val="en-US" w:eastAsia="zh-CN" w:bidi="ar-SA"/>
        </w:rPr>
      </w:pPr>
      <w:r>
        <w:rPr>
          <w:rFonts w:hint="eastAsia" w:ascii="仿宋" w:hAnsi="仿宋" w:eastAsia="仿宋" w:cs="仿宋"/>
          <w:b w:val="0"/>
          <w:bCs w:val="0"/>
          <w:snapToGrid w:val="0"/>
          <w:color w:val="000000"/>
          <w:spacing w:val="0"/>
          <w:kern w:val="0"/>
          <w:position w:val="0"/>
          <w:sz w:val="24"/>
          <w:szCs w:val="24"/>
          <w:u w:val="none"/>
          <w:lang w:val="en-US" w:eastAsia="zh-CN" w:bidi="ar-SA"/>
        </w:rPr>
        <w:t>表7 废气无组织排放监测结果执行标准</w:t>
      </w:r>
    </w:p>
    <w:tbl>
      <w:tblPr>
        <w:tblStyle w:val="31"/>
        <w:tblW w:w="90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0"/>
        <w:gridCol w:w="807"/>
        <w:gridCol w:w="1530"/>
        <w:gridCol w:w="1337"/>
        <w:gridCol w:w="1667"/>
        <w:gridCol w:w="2771"/>
      </w:tblGrid>
      <w:tr w14:paraId="7AC5D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1014" w:type="dxa"/>
            <w:vAlign w:val="center"/>
          </w:tcPr>
          <w:p w14:paraId="5D4D0A4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类别</w:t>
            </w:r>
          </w:p>
        </w:tc>
        <w:tc>
          <w:tcPr>
            <w:tcW w:w="879" w:type="dxa"/>
            <w:vAlign w:val="center"/>
          </w:tcPr>
          <w:p w14:paraId="473FC96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序号</w:t>
            </w:r>
          </w:p>
        </w:tc>
        <w:tc>
          <w:tcPr>
            <w:tcW w:w="1668" w:type="dxa"/>
            <w:vAlign w:val="center"/>
          </w:tcPr>
          <w:p w14:paraId="35CDA74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监测项目</w:t>
            </w:r>
          </w:p>
        </w:tc>
        <w:tc>
          <w:tcPr>
            <w:tcW w:w="1458" w:type="dxa"/>
            <w:vAlign w:val="center"/>
          </w:tcPr>
          <w:p w14:paraId="708E193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监测排放口</w:t>
            </w:r>
          </w:p>
        </w:tc>
        <w:tc>
          <w:tcPr>
            <w:tcW w:w="1818" w:type="dxa"/>
            <w:vAlign w:val="center"/>
          </w:tcPr>
          <w:p w14:paraId="6476489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执行标准限值</w:t>
            </w:r>
          </w:p>
        </w:tc>
        <w:tc>
          <w:tcPr>
            <w:tcW w:w="3022" w:type="dxa"/>
            <w:vAlign w:val="center"/>
          </w:tcPr>
          <w:p w14:paraId="7F9EAD6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执行标准</w:t>
            </w:r>
          </w:p>
        </w:tc>
      </w:tr>
      <w:tr w14:paraId="58D00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jc w:val="center"/>
        </w:trPr>
        <w:tc>
          <w:tcPr>
            <w:tcW w:w="1014" w:type="dxa"/>
            <w:vMerge w:val="restart"/>
            <w:tcBorders>
              <w:bottom w:val="nil"/>
            </w:tcBorders>
            <w:vAlign w:val="center"/>
          </w:tcPr>
          <w:p w14:paraId="68D1E84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废气无</w:t>
            </w:r>
          </w:p>
          <w:p w14:paraId="6F34E4D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组织排</w:t>
            </w:r>
          </w:p>
          <w:p w14:paraId="0DEDD42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放</w:t>
            </w:r>
          </w:p>
        </w:tc>
        <w:tc>
          <w:tcPr>
            <w:tcW w:w="879" w:type="dxa"/>
            <w:vAlign w:val="center"/>
          </w:tcPr>
          <w:p w14:paraId="3C84095D">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1</w:t>
            </w:r>
          </w:p>
        </w:tc>
        <w:tc>
          <w:tcPr>
            <w:tcW w:w="1668" w:type="dxa"/>
            <w:vAlign w:val="center"/>
          </w:tcPr>
          <w:p w14:paraId="2F3D8A8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氨(氨气)</w:t>
            </w:r>
          </w:p>
        </w:tc>
        <w:tc>
          <w:tcPr>
            <w:tcW w:w="1458" w:type="dxa"/>
            <w:vMerge w:val="restart"/>
            <w:tcBorders>
              <w:bottom w:val="nil"/>
            </w:tcBorders>
            <w:vAlign w:val="center"/>
          </w:tcPr>
          <w:p w14:paraId="6D597CC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污水处理站</w:t>
            </w:r>
          </w:p>
          <w:p w14:paraId="5A27BA5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周界上风向1</w:t>
            </w:r>
          </w:p>
          <w:p w14:paraId="5FD8E85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个、下风向3</w:t>
            </w:r>
          </w:p>
          <w:p w14:paraId="7D1D70B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个</w:t>
            </w:r>
          </w:p>
        </w:tc>
        <w:tc>
          <w:tcPr>
            <w:tcW w:w="1818" w:type="dxa"/>
            <w:vAlign w:val="center"/>
          </w:tcPr>
          <w:p w14:paraId="4E22CB4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1.0mg/m³</w:t>
            </w:r>
          </w:p>
        </w:tc>
        <w:tc>
          <w:tcPr>
            <w:tcW w:w="3022" w:type="dxa"/>
            <w:vMerge w:val="restart"/>
            <w:tcBorders>
              <w:bottom w:val="nil"/>
            </w:tcBorders>
            <w:vAlign w:val="center"/>
          </w:tcPr>
          <w:p w14:paraId="4297B89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医疗机构水污染排放标准(G</w:t>
            </w:r>
            <w:r>
              <w:rPr>
                <w:rFonts w:hint="eastAsia" w:ascii="仿宋" w:hAnsi="仿宋" w:eastAsia="仿宋" w:cs="仿宋"/>
                <w:b w:val="0"/>
                <w:bCs w:val="0"/>
                <w:spacing w:val="0"/>
                <w:position w:val="0"/>
                <w:sz w:val="21"/>
                <w:szCs w:val="21"/>
                <w:u w:val="none"/>
                <w:lang w:val="en-US" w:eastAsia="zh-CN"/>
              </w:rPr>
              <w:t>B</w:t>
            </w:r>
            <w:r>
              <w:rPr>
                <w:rFonts w:hint="eastAsia" w:ascii="仿宋" w:hAnsi="仿宋" w:eastAsia="仿宋" w:cs="仿宋"/>
                <w:b w:val="0"/>
                <w:bCs w:val="0"/>
                <w:spacing w:val="0"/>
                <w:position w:val="0"/>
                <w:sz w:val="21"/>
                <w:szCs w:val="21"/>
                <w:u w:val="none"/>
              </w:rPr>
              <w:t xml:space="preserve"> 18466-2005)表3</w:t>
            </w:r>
          </w:p>
        </w:tc>
      </w:tr>
      <w:tr w14:paraId="348CC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014" w:type="dxa"/>
            <w:vMerge w:val="continue"/>
            <w:tcBorders>
              <w:top w:val="nil"/>
              <w:bottom w:val="nil"/>
            </w:tcBorders>
            <w:vAlign w:val="center"/>
          </w:tcPr>
          <w:p w14:paraId="74163A5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p>
        </w:tc>
        <w:tc>
          <w:tcPr>
            <w:tcW w:w="879" w:type="dxa"/>
            <w:vAlign w:val="center"/>
          </w:tcPr>
          <w:p w14:paraId="338A141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2</w:t>
            </w:r>
          </w:p>
        </w:tc>
        <w:tc>
          <w:tcPr>
            <w:tcW w:w="1668" w:type="dxa"/>
            <w:vAlign w:val="center"/>
          </w:tcPr>
          <w:p w14:paraId="5FFC07E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硫化氢</w:t>
            </w:r>
          </w:p>
        </w:tc>
        <w:tc>
          <w:tcPr>
            <w:tcW w:w="1458" w:type="dxa"/>
            <w:vMerge w:val="continue"/>
            <w:tcBorders>
              <w:top w:val="nil"/>
              <w:bottom w:val="nil"/>
            </w:tcBorders>
            <w:vAlign w:val="center"/>
          </w:tcPr>
          <w:p w14:paraId="1268E3D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p>
        </w:tc>
        <w:tc>
          <w:tcPr>
            <w:tcW w:w="1818" w:type="dxa"/>
            <w:vAlign w:val="center"/>
          </w:tcPr>
          <w:p w14:paraId="0BD99A7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0.03mg/m³</w:t>
            </w:r>
          </w:p>
        </w:tc>
        <w:tc>
          <w:tcPr>
            <w:tcW w:w="3022" w:type="dxa"/>
            <w:vMerge w:val="continue"/>
            <w:tcBorders>
              <w:top w:val="nil"/>
              <w:bottom w:val="nil"/>
            </w:tcBorders>
            <w:vAlign w:val="center"/>
          </w:tcPr>
          <w:p w14:paraId="41332D2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p>
        </w:tc>
      </w:tr>
      <w:tr w14:paraId="1BB32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1014" w:type="dxa"/>
            <w:vMerge w:val="continue"/>
            <w:tcBorders>
              <w:top w:val="nil"/>
              <w:bottom w:val="nil"/>
            </w:tcBorders>
            <w:vAlign w:val="center"/>
          </w:tcPr>
          <w:p w14:paraId="1C95EE0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p>
        </w:tc>
        <w:tc>
          <w:tcPr>
            <w:tcW w:w="879" w:type="dxa"/>
            <w:vAlign w:val="center"/>
          </w:tcPr>
          <w:p w14:paraId="51AC3B5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3</w:t>
            </w:r>
          </w:p>
        </w:tc>
        <w:tc>
          <w:tcPr>
            <w:tcW w:w="1668" w:type="dxa"/>
            <w:vAlign w:val="center"/>
          </w:tcPr>
          <w:p w14:paraId="4482213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臭气浓度</w:t>
            </w:r>
          </w:p>
        </w:tc>
        <w:tc>
          <w:tcPr>
            <w:tcW w:w="1458" w:type="dxa"/>
            <w:vMerge w:val="continue"/>
            <w:tcBorders>
              <w:top w:val="nil"/>
              <w:bottom w:val="nil"/>
            </w:tcBorders>
            <w:vAlign w:val="center"/>
          </w:tcPr>
          <w:p w14:paraId="64B104D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p>
        </w:tc>
        <w:tc>
          <w:tcPr>
            <w:tcW w:w="1818" w:type="dxa"/>
            <w:vAlign w:val="center"/>
          </w:tcPr>
          <w:p w14:paraId="30E4EA3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10(无量纲)</w:t>
            </w:r>
          </w:p>
        </w:tc>
        <w:tc>
          <w:tcPr>
            <w:tcW w:w="3022" w:type="dxa"/>
            <w:vMerge w:val="continue"/>
            <w:tcBorders>
              <w:top w:val="nil"/>
              <w:bottom w:val="nil"/>
            </w:tcBorders>
            <w:vAlign w:val="center"/>
          </w:tcPr>
          <w:p w14:paraId="21B5636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p>
        </w:tc>
      </w:tr>
      <w:tr w14:paraId="55D18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jc w:val="center"/>
        </w:trPr>
        <w:tc>
          <w:tcPr>
            <w:tcW w:w="1014" w:type="dxa"/>
            <w:vMerge w:val="continue"/>
            <w:tcBorders>
              <w:top w:val="nil"/>
              <w:bottom w:val="nil"/>
            </w:tcBorders>
            <w:vAlign w:val="center"/>
          </w:tcPr>
          <w:p w14:paraId="57672F0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p>
        </w:tc>
        <w:tc>
          <w:tcPr>
            <w:tcW w:w="879" w:type="dxa"/>
            <w:vAlign w:val="center"/>
          </w:tcPr>
          <w:p w14:paraId="331734E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4</w:t>
            </w:r>
          </w:p>
        </w:tc>
        <w:tc>
          <w:tcPr>
            <w:tcW w:w="1668" w:type="dxa"/>
            <w:vAlign w:val="center"/>
          </w:tcPr>
          <w:p w14:paraId="0330485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氯</w:t>
            </w:r>
          </w:p>
        </w:tc>
        <w:tc>
          <w:tcPr>
            <w:tcW w:w="1458" w:type="dxa"/>
            <w:vMerge w:val="continue"/>
            <w:tcBorders>
              <w:top w:val="nil"/>
              <w:bottom w:val="nil"/>
            </w:tcBorders>
            <w:vAlign w:val="center"/>
          </w:tcPr>
          <w:p w14:paraId="056F4AF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p>
        </w:tc>
        <w:tc>
          <w:tcPr>
            <w:tcW w:w="1818" w:type="dxa"/>
            <w:vAlign w:val="center"/>
          </w:tcPr>
          <w:p w14:paraId="25F7D19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0.1mg/m³</w:t>
            </w:r>
          </w:p>
        </w:tc>
        <w:tc>
          <w:tcPr>
            <w:tcW w:w="3022" w:type="dxa"/>
            <w:vMerge w:val="continue"/>
            <w:tcBorders>
              <w:top w:val="nil"/>
              <w:bottom w:val="nil"/>
            </w:tcBorders>
            <w:vAlign w:val="center"/>
          </w:tcPr>
          <w:p w14:paraId="4F920DF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p>
        </w:tc>
      </w:tr>
      <w:tr w14:paraId="60EDA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1014" w:type="dxa"/>
            <w:vMerge w:val="continue"/>
            <w:tcBorders>
              <w:top w:val="nil"/>
            </w:tcBorders>
            <w:vAlign w:val="center"/>
          </w:tcPr>
          <w:p w14:paraId="4061878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p>
        </w:tc>
        <w:tc>
          <w:tcPr>
            <w:tcW w:w="879" w:type="dxa"/>
            <w:vAlign w:val="center"/>
          </w:tcPr>
          <w:p w14:paraId="2B5655C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5</w:t>
            </w:r>
          </w:p>
        </w:tc>
        <w:tc>
          <w:tcPr>
            <w:tcW w:w="1668" w:type="dxa"/>
            <w:vAlign w:val="center"/>
          </w:tcPr>
          <w:p w14:paraId="51EE737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甲烷</w:t>
            </w:r>
          </w:p>
        </w:tc>
        <w:tc>
          <w:tcPr>
            <w:tcW w:w="1458" w:type="dxa"/>
            <w:vMerge w:val="continue"/>
            <w:tcBorders>
              <w:top w:val="nil"/>
            </w:tcBorders>
            <w:vAlign w:val="center"/>
          </w:tcPr>
          <w:p w14:paraId="1DCD900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p>
        </w:tc>
        <w:tc>
          <w:tcPr>
            <w:tcW w:w="1818" w:type="dxa"/>
            <w:vAlign w:val="center"/>
          </w:tcPr>
          <w:p w14:paraId="540076D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1%</w:t>
            </w:r>
          </w:p>
        </w:tc>
        <w:tc>
          <w:tcPr>
            <w:tcW w:w="3022" w:type="dxa"/>
            <w:vMerge w:val="continue"/>
            <w:tcBorders>
              <w:top w:val="nil"/>
            </w:tcBorders>
            <w:vAlign w:val="center"/>
          </w:tcPr>
          <w:p w14:paraId="25661C4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p>
        </w:tc>
      </w:tr>
    </w:tbl>
    <w:p w14:paraId="7A32CE4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4"/>
          <w:szCs w:val="24"/>
          <w:u w:val="none"/>
        </w:rPr>
      </w:pPr>
    </w:p>
    <w:p w14:paraId="618C7BA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15"/>
          <w:sz w:val="24"/>
          <w:szCs w:val="24"/>
          <w:u w:val="none"/>
          <w:lang w:val="en-US" w:eastAsia="zh-CN"/>
        </w:rPr>
      </w:pPr>
      <w:r>
        <w:rPr>
          <w:rFonts w:hint="eastAsia" w:ascii="仿宋" w:hAnsi="仿宋" w:eastAsia="仿宋" w:cs="仿宋"/>
          <w:b w:val="0"/>
          <w:bCs w:val="0"/>
          <w:spacing w:val="15"/>
          <w:sz w:val="24"/>
          <w:szCs w:val="24"/>
          <w:u w:val="none"/>
          <w:lang w:val="en-US" w:eastAsia="en-US"/>
        </w:rPr>
        <w:t>4、 废气无组织排放监测仪器设备见表8</w:t>
      </w:r>
    </w:p>
    <w:p w14:paraId="6E375249">
      <w:pPr>
        <w:pStyle w:val="7"/>
        <w:keepNext w:val="0"/>
        <w:keepLines w:val="0"/>
        <w:pageBreakBefore w:val="0"/>
        <w:widowControl/>
        <w:kinsoku w:val="0"/>
        <w:wordWrap/>
        <w:overflowPunct/>
        <w:topLinePunct w:val="0"/>
        <w:autoSpaceDE w:val="0"/>
        <w:autoSpaceDN w:val="0"/>
        <w:bidi w:val="0"/>
        <w:adjustRightInd w:val="0"/>
        <w:snapToGrid w:val="0"/>
        <w:spacing w:before="122" w:line="219" w:lineRule="auto"/>
        <w:ind w:left="0"/>
        <w:jc w:val="center"/>
        <w:textAlignment w:val="baseline"/>
        <w:rPr>
          <w:rFonts w:hint="eastAsia" w:ascii="仿宋" w:hAnsi="仿宋" w:eastAsia="仿宋" w:cs="仿宋"/>
          <w:b w:val="0"/>
          <w:bCs w:val="0"/>
          <w:snapToGrid w:val="0"/>
          <w:color w:val="000000"/>
          <w:spacing w:val="0"/>
          <w:kern w:val="0"/>
          <w:position w:val="0"/>
          <w:sz w:val="24"/>
          <w:szCs w:val="24"/>
          <w:u w:val="none"/>
          <w:lang w:val="en-US" w:eastAsia="zh-CN" w:bidi="ar-SA"/>
        </w:rPr>
      </w:pPr>
      <w:r>
        <w:rPr>
          <w:rFonts w:hint="eastAsia" w:ascii="仿宋" w:hAnsi="仿宋" w:eastAsia="仿宋" w:cs="仿宋"/>
          <w:b w:val="0"/>
          <w:bCs w:val="0"/>
          <w:snapToGrid w:val="0"/>
          <w:color w:val="000000"/>
          <w:spacing w:val="0"/>
          <w:kern w:val="0"/>
          <w:position w:val="0"/>
          <w:sz w:val="24"/>
          <w:szCs w:val="24"/>
          <w:u w:val="none"/>
          <w:lang w:val="en-US" w:eastAsia="zh-CN" w:bidi="ar-SA"/>
        </w:rPr>
        <w:t>表8 废气无组织排放监测仪器设备表</w:t>
      </w:r>
    </w:p>
    <w:tbl>
      <w:tblPr>
        <w:tblStyle w:val="31"/>
        <w:tblW w:w="90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3"/>
        <w:gridCol w:w="2373"/>
        <w:gridCol w:w="3853"/>
        <w:gridCol w:w="1673"/>
      </w:tblGrid>
      <w:tr w14:paraId="21B57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1143" w:type="dxa"/>
            <w:vAlign w:val="center"/>
          </w:tcPr>
          <w:p w14:paraId="399C90D5">
            <w:pPr>
              <w:widowControl w:val="0"/>
              <w:adjustRightInd w:val="0"/>
              <w:snapToGrid w:val="0"/>
              <w:ind w:left="0" w:leftChars="0" w:right="0" w:rightChars="0" w:firstLine="0" w:firstLineChars="0"/>
              <w:jc w:val="center"/>
              <w:rPr>
                <w:rFonts w:hint="eastAsia" w:ascii="仿宋" w:hAnsi="仿宋" w:eastAsia="仿宋" w:cs="仿宋"/>
                <w:b w:val="0"/>
                <w:bCs w:val="0"/>
                <w:color w:val="000000"/>
                <w:sz w:val="21"/>
                <w:szCs w:val="21"/>
                <w:u w:val="none"/>
              </w:rPr>
            </w:pPr>
            <w:r>
              <w:rPr>
                <w:rFonts w:hint="eastAsia" w:ascii="仿宋" w:hAnsi="仿宋" w:eastAsia="仿宋" w:cs="仿宋"/>
                <w:b w:val="0"/>
                <w:bCs w:val="0"/>
                <w:color w:val="000000"/>
                <w:sz w:val="21"/>
                <w:szCs w:val="21"/>
                <w:u w:val="none"/>
              </w:rPr>
              <w:t>序号</w:t>
            </w:r>
          </w:p>
        </w:tc>
        <w:tc>
          <w:tcPr>
            <w:tcW w:w="2373" w:type="dxa"/>
            <w:vAlign w:val="center"/>
          </w:tcPr>
          <w:p w14:paraId="0A19ACE8">
            <w:pPr>
              <w:widowControl w:val="0"/>
              <w:adjustRightInd w:val="0"/>
              <w:snapToGrid w:val="0"/>
              <w:ind w:left="0" w:leftChars="0" w:right="0" w:rightChars="0" w:firstLine="0" w:firstLineChars="0"/>
              <w:jc w:val="center"/>
              <w:rPr>
                <w:rFonts w:hint="eastAsia" w:ascii="仿宋" w:hAnsi="仿宋" w:eastAsia="仿宋" w:cs="仿宋"/>
                <w:b w:val="0"/>
                <w:bCs w:val="0"/>
                <w:color w:val="000000"/>
                <w:sz w:val="21"/>
                <w:szCs w:val="21"/>
                <w:u w:val="none"/>
              </w:rPr>
            </w:pPr>
            <w:r>
              <w:rPr>
                <w:rFonts w:hint="eastAsia" w:ascii="仿宋" w:hAnsi="仿宋" w:eastAsia="仿宋" w:cs="仿宋"/>
                <w:b w:val="0"/>
                <w:bCs w:val="0"/>
                <w:color w:val="000000"/>
                <w:sz w:val="21"/>
                <w:szCs w:val="21"/>
                <w:u w:val="none"/>
              </w:rPr>
              <w:t>监测项目</w:t>
            </w:r>
          </w:p>
        </w:tc>
        <w:tc>
          <w:tcPr>
            <w:tcW w:w="3853" w:type="dxa"/>
            <w:vAlign w:val="center"/>
          </w:tcPr>
          <w:p w14:paraId="46D93A16">
            <w:pPr>
              <w:widowControl w:val="0"/>
              <w:adjustRightInd w:val="0"/>
              <w:snapToGrid w:val="0"/>
              <w:ind w:left="0" w:leftChars="0" w:right="0" w:rightChars="0" w:firstLine="0" w:firstLineChars="0"/>
              <w:jc w:val="center"/>
              <w:rPr>
                <w:rFonts w:hint="eastAsia" w:ascii="仿宋" w:hAnsi="仿宋" w:eastAsia="仿宋" w:cs="仿宋"/>
                <w:b w:val="0"/>
                <w:bCs w:val="0"/>
                <w:color w:val="000000"/>
                <w:sz w:val="21"/>
                <w:szCs w:val="21"/>
                <w:u w:val="none"/>
              </w:rPr>
            </w:pPr>
            <w:r>
              <w:rPr>
                <w:rFonts w:hint="eastAsia" w:ascii="仿宋" w:hAnsi="仿宋" w:eastAsia="仿宋" w:cs="仿宋"/>
                <w:b w:val="0"/>
                <w:bCs w:val="0"/>
                <w:color w:val="000000"/>
                <w:sz w:val="21"/>
                <w:szCs w:val="21"/>
                <w:u w:val="none"/>
              </w:rPr>
              <w:t>仪器</w:t>
            </w:r>
          </w:p>
        </w:tc>
        <w:tc>
          <w:tcPr>
            <w:tcW w:w="1673" w:type="dxa"/>
            <w:vAlign w:val="center"/>
          </w:tcPr>
          <w:p w14:paraId="4FF37A00">
            <w:pPr>
              <w:widowControl w:val="0"/>
              <w:adjustRightInd w:val="0"/>
              <w:snapToGrid w:val="0"/>
              <w:ind w:left="0" w:leftChars="0" w:right="0" w:rightChars="0" w:firstLine="0" w:firstLineChars="0"/>
              <w:jc w:val="center"/>
              <w:rPr>
                <w:rFonts w:hint="eastAsia" w:ascii="仿宋" w:hAnsi="仿宋" w:eastAsia="仿宋" w:cs="仿宋"/>
                <w:b w:val="0"/>
                <w:bCs w:val="0"/>
                <w:color w:val="000000"/>
                <w:sz w:val="21"/>
                <w:szCs w:val="21"/>
                <w:u w:val="none"/>
              </w:rPr>
            </w:pPr>
            <w:r>
              <w:rPr>
                <w:rFonts w:hint="eastAsia" w:ascii="仿宋" w:hAnsi="仿宋" w:eastAsia="仿宋" w:cs="仿宋"/>
                <w:b w:val="0"/>
                <w:bCs w:val="0"/>
                <w:color w:val="000000"/>
                <w:sz w:val="21"/>
                <w:szCs w:val="21"/>
                <w:u w:val="none"/>
              </w:rPr>
              <w:t>规格型号</w:t>
            </w:r>
          </w:p>
        </w:tc>
      </w:tr>
      <w:tr w14:paraId="66C14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1143" w:type="dxa"/>
            <w:vAlign w:val="center"/>
          </w:tcPr>
          <w:p w14:paraId="2769588E">
            <w:pPr>
              <w:pStyle w:val="30"/>
              <w:spacing w:before="12" w:line="226" w:lineRule="auto"/>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spacing w:val="1"/>
                <w:sz w:val="21"/>
                <w:szCs w:val="21"/>
                <w:u w:val="none"/>
              </w:rPr>
              <w:t>1</w:t>
            </w:r>
          </w:p>
        </w:tc>
        <w:tc>
          <w:tcPr>
            <w:tcW w:w="2373" w:type="dxa"/>
            <w:vAlign w:val="center"/>
          </w:tcPr>
          <w:p w14:paraId="6048C886">
            <w:pPr>
              <w:widowControl w:val="0"/>
              <w:adjustRightInd w:val="0"/>
              <w:snapToGrid w:val="0"/>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color w:val="000000"/>
                <w:sz w:val="21"/>
                <w:szCs w:val="21"/>
                <w:u w:val="none"/>
              </w:rPr>
              <w:t>氨</w:t>
            </w:r>
          </w:p>
        </w:tc>
        <w:tc>
          <w:tcPr>
            <w:tcW w:w="3853" w:type="dxa"/>
            <w:vAlign w:val="center"/>
          </w:tcPr>
          <w:p w14:paraId="3024870E">
            <w:pPr>
              <w:widowControl w:val="0"/>
              <w:adjustRightInd w:val="0"/>
              <w:snapToGrid w:val="0"/>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color w:val="000000"/>
                <w:sz w:val="21"/>
                <w:szCs w:val="21"/>
                <w:u w:val="none"/>
              </w:rPr>
              <w:t>紫外可见分光光度计</w:t>
            </w:r>
          </w:p>
        </w:tc>
        <w:tc>
          <w:tcPr>
            <w:tcW w:w="1673" w:type="dxa"/>
            <w:vAlign w:val="center"/>
          </w:tcPr>
          <w:p w14:paraId="73F3C166">
            <w:pPr>
              <w:widowControl w:val="0"/>
              <w:adjustRightInd w:val="0"/>
              <w:snapToGrid w:val="0"/>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color w:val="000000"/>
                <w:sz w:val="21"/>
                <w:szCs w:val="21"/>
                <w:u w:val="none"/>
                <w:lang w:val="en-US" w:eastAsia="zh-CN"/>
              </w:rPr>
              <w:t>T-2600</w:t>
            </w:r>
          </w:p>
        </w:tc>
      </w:tr>
      <w:tr w14:paraId="6A3B8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1143" w:type="dxa"/>
            <w:vAlign w:val="center"/>
          </w:tcPr>
          <w:p w14:paraId="4FF3F991">
            <w:pPr>
              <w:pStyle w:val="30"/>
              <w:spacing w:before="12" w:line="226" w:lineRule="auto"/>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spacing w:val="1"/>
                <w:sz w:val="21"/>
                <w:szCs w:val="21"/>
                <w:u w:val="none"/>
              </w:rPr>
              <w:t>2</w:t>
            </w:r>
          </w:p>
        </w:tc>
        <w:tc>
          <w:tcPr>
            <w:tcW w:w="2373" w:type="dxa"/>
            <w:vAlign w:val="center"/>
          </w:tcPr>
          <w:p w14:paraId="75965564">
            <w:pPr>
              <w:widowControl w:val="0"/>
              <w:adjustRightInd w:val="0"/>
              <w:snapToGrid w:val="0"/>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color w:val="000000"/>
                <w:sz w:val="21"/>
                <w:szCs w:val="21"/>
                <w:u w:val="none"/>
              </w:rPr>
              <w:t>硫化氢</w:t>
            </w:r>
          </w:p>
        </w:tc>
        <w:tc>
          <w:tcPr>
            <w:tcW w:w="3853" w:type="dxa"/>
            <w:vAlign w:val="center"/>
          </w:tcPr>
          <w:p w14:paraId="77920060">
            <w:pPr>
              <w:widowControl w:val="0"/>
              <w:adjustRightInd w:val="0"/>
              <w:snapToGrid w:val="0"/>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color w:val="000000"/>
                <w:sz w:val="21"/>
                <w:szCs w:val="21"/>
                <w:u w:val="none"/>
              </w:rPr>
              <w:t>紫外可见分光光度计</w:t>
            </w:r>
          </w:p>
        </w:tc>
        <w:tc>
          <w:tcPr>
            <w:tcW w:w="1673" w:type="dxa"/>
            <w:vAlign w:val="center"/>
          </w:tcPr>
          <w:p w14:paraId="7BEB300C">
            <w:pPr>
              <w:widowControl w:val="0"/>
              <w:adjustRightInd w:val="0"/>
              <w:snapToGrid w:val="0"/>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color w:val="000000"/>
                <w:sz w:val="21"/>
                <w:szCs w:val="21"/>
                <w:u w:val="none"/>
                <w:lang w:val="en-US" w:eastAsia="zh-CN"/>
              </w:rPr>
              <w:t>T-2600</w:t>
            </w:r>
          </w:p>
        </w:tc>
      </w:tr>
      <w:tr w14:paraId="0099D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143" w:type="dxa"/>
            <w:vAlign w:val="center"/>
          </w:tcPr>
          <w:p w14:paraId="2F436609">
            <w:pPr>
              <w:pStyle w:val="30"/>
              <w:spacing w:before="12" w:line="226" w:lineRule="auto"/>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spacing w:val="1"/>
                <w:sz w:val="21"/>
                <w:szCs w:val="21"/>
                <w:u w:val="none"/>
              </w:rPr>
              <w:t>3</w:t>
            </w:r>
          </w:p>
        </w:tc>
        <w:tc>
          <w:tcPr>
            <w:tcW w:w="2373" w:type="dxa"/>
            <w:vAlign w:val="center"/>
          </w:tcPr>
          <w:p w14:paraId="5206B8AC">
            <w:pPr>
              <w:widowControl w:val="0"/>
              <w:adjustRightInd w:val="0"/>
              <w:snapToGrid w:val="0"/>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color w:val="000000"/>
                <w:sz w:val="21"/>
                <w:szCs w:val="21"/>
                <w:u w:val="none"/>
              </w:rPr>
              <w:t>氯气</w:t>
            </w:r>
          </w:p>
        </w:tc>
        <w:tc>
          <w:tcPr>
            <w:tcW w:w="3853" w:type="dxa"/>
            <w:vAlign w:val="center"/>
          </w:tcPr>
          <w:p w14:paraId="4A902670">
            <w:pPr>
              <w:widowControl w:val="0"/>
              <w:adjustRightInd w:val="0"/>
              <w:snapToGrid w:val="0"/>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color w:val="000000"/>
                <w:sz w:val="21"/>
                <w:szCs w:val="21"/>
                <w:u w:val="none"/>
              </w:rPr>
              <w:t>紫外可见分光光度计</w:t>
            </w:r>
          </w:p>
        </w:tc>
        <w:tc>
          <w:tcPr>
            <w:tcW w:w="1673" w:type="dxa"/>
            <w:vAlign w:val="center"/>
          </w:tcPr>
          <w:p w14:paraId="0E09B761">
            <w:pPr>
              <w:widowControl w:val="0"/>
              <w:adjustRightInd w:val="0"/>
              <w:snapToGrid w:val="0"/>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color w:val="000000"/>
                <w:sz w:val="21"/>
                <w:szCs w:val="21"/>
                <w:u w:val="none"/>
                <w:lang w:val="en-US" w:eastAsia="zh-CN"/>
              </w:rPr>
              <w:t>T-2600</w:t>
            </w:r>
          </w:p>
        </w:tc>
      </w:tr>
      <w:tr w14:paraId="7021C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1143" w:type="dxa"/>
            <w:vAlign w:val="center"/>
          </w:tcPr>
          <w:p w14:paraId="583C7676">
            <w:pPr>
              <w:pStyle w:val="30"/>
              <w:spacing w:before="12" w:line="226" w:lineRule="auto"/>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spacing w:val="1"/>
                <w:sz w:val="21"/>
                <w:szCs w:val="21"/>
                <w:u w:val="none"/>
              </w:rPr>
              <w:t>4</w:t>
            </w:r>
          </w:p>
        </w:tc>
        <w:tc>
          <w:tcPr>
            <w:tcW w:w="2373" w:type="dxa"/>
            <w:vAlign w:val="center"/>
          </w:tcPr>
          <w:p w14:paraId="2E7548A8">
            <w:pPr>
              <w:widowControl w:val="0"/>
              <w:adjustRightInd w:val="0"/>
              <w:snapToGrid w:val="0"/>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color w:val="000000"/>
                <w:sz w:val="21"/>
                <w:szCs w:val="21"/>
                <w:u w:val="none"/>
              </w:rPr>
              <w:t>臭气浓度</w:t>
            </w:r>
          </w:p>
        </w:tc>
        <w:tc>
          <w:tcPr>
            <w:tcW w:w="3853" w:type="dxa"/>
            <w:vAlign w:val="center"/>
          </w:tcPr>
          <w:p w14:paraId="3E0C5228">
            <w:pPr>
              <w:widowControl w:val="0"/>
              <w:adjustRightInd w:val="0"/>
              <w:snapToGrid w:val="0"/>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color w:val="000000"/>
                <w:sz w:val="21"/>
                <w:szCs w:val="21"/>
                <w:u w:val="none"/>
                <w:lang w:val="en-US" w:eastAsia="zh-CN"/>
              </w:rPr>
              <w:t>真空气袋采样器</w:t>
            </w:r>
          </w:p>
        </w:tc>
        <w:tc>
          <w:tcPr>
            <w:tcW w:w="1673" w:type="dxa"/>
            <w:vAlign w:val="center"/>
          </w:tcPr>
          <w:p w14:paraId="20D826C3">
            <w:pPr>
              <w:widowControl w:val="0"/>
              <w:adjustRightInd w:val="0"/>
              <w:snapToGrid w:val="0"/>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color w:val="000000"/>
                <w:sz w:val="21"/>
                <w:szCs w:val="21"/>
                <w:u w:val="none"/>
                <w:lang w:val="en-US" w:eastAsia="zh-CN"/>
              </w:rPr>
              <w:t>JCY-3036</w:t>
            </w:r>
          </w:p>
        </w:tc>
      </w:tr>
      <w:tr w14:paraId="46A72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jc w:val="center"/>
        </w:trPr>
        <w:tc>
          <w:tcPr>
            <w:tcW w:w="1143" w:type="dxa"/>
            <w:vAlign w:val="center"/>
          </w:tcPr>
          <w:p w14:paraId="0CDC707B">
            <w:pPr>
              <w:pStyle w:val="30"/>
              <w:spacing w:before="12" w:line="226" w:lineRule="auto"/>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spacing w:val="1"/>
                <w:sz w:val="21"/>
                <w:szCs w:val="21"/>
                <w:u w:val="none"/>
              </w:rPr>
              <w:t>5</w:t>
            </w:r>
          </w:p>
        </w:tc>
        <w:tc>
          <w:tcPr>
            <w:tcW w:w="2373" w:type="dxa"/>
            <w:vAlign w:val="center"/>
          </w:tcPr>
          <w:p w14:paraId="50FFD5E5">
            <w:pPr>
              <w:widowControl w:val="0"/>
              <w:adjustRightInd w:val="0"/>
              <w:snapToGrid w:val="0"/>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color w:val="000000"/>
                <w:sz w:val="21"/>
                <w:szCs w:val="21"/>
                <w:u w:val="none"/>
              </w:rPr>
              <w:t>甲烷</w:t>
            </w:r>
          </w:p>
        </w:tc>
        <w:tc>
          <w:tcPr>
            <w:tcW w:w="3853" w:type="dxa"/>
            <w:vAlign w:val="center"/>
          </w:tcPr>
          <w:p w14:paraId="00F862F9">
            <w:pPr>
              <w:widowControl w:val="0"/>
              <w:adjustRightInd w:val="0"/>
              <w:snapToGrid w:val="0"/>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color w:val="000000"/>
                <w:sz w:val="21"/>
                <w:szCs w:val="21"/>
                <w:u w:val="none"/>
              </w:rPr>
              <w:t>气相色谱仪</w:t>
            </w:r>
          </w:p>
        </w:tc>
        <w:tc>
          <w:tcPr>
            <w:tcW w:w="1673" w:type="dxa"/>
            <w:vAlign w:val="center"/>
          </w:tcPr>
          <w:p w14:paraId="01EFB4B8">
            <w:pPr>
              <w:widowControl w:val="0"/>
              <w:adjustRightInd w:val="0"/>
              <w:snapToGrid w:val="0"/>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color w:val="000000"/>
                <w:sz w:val="21"/>
                <w:szCs w:val="21"/>
                <w:u w:val="none"/>
                <w:lang w:val="en-US" w:eastAsia="zh-CN"/>
              </w:rPr>
              <w:t>GC126N</w:t>
            </w:r>
          </w:p>
        </w:tc>
      </w:tr>
    </w:tbl>
    <w:p w14:paraId="4EC18E82">
      <w:pPr>
        <w:ind w:left="0" w:leftChars="0" w:firstLine="0" w:firstLineChars="0"/>
        <w:rPr>
          <w:rFonts w:hint="eastAsia" w:ascii="仿宋" w:hAnsi="仿宋" w:eastAsia="仿宋" w:cs="仿宋"/>
          <w:b w:val="0"/>
          <w:bCs w:val="0"/>
          <w:spacing w:val="-1"/>
          <w:sz w:val="32"/>
          <w:szCs w:val="32"/>
          <w:u w:val="none"/>
        </w:rPr>
      </w:pPr>
    </w:p>
    <w:p w14:paraId="79C5B4EC">
      <w:pPr>
        <w:ind w:left="0" w:leftChars="0" w:firstLine="636" w:firstLineChars="200"/>
        <w:rPr>
          <w:rFonts w:hint="eastAsia" w:ascii="仿宋" w:hAnsi="仿宋" w:eastAsia="仿宋" w:cs="仿宋"/>
          <w:b w:val="0"/>
          <w:bCs w:val="0"/>
          <w:sz w:val="32"/>
          <w:szCs w:val="32"/>
          <w:u w:val="none"/>
          <w:lang w:eastAsia="zh-CN"/>
        </w:rPr>
      </w:pPr>
      <w:r>
        <w:rPr>
          <w:rFonts w:hint="eastAsia" w:ascii="仿宋" w:hAnsi="仿宋" w:eastAsia="仿宋" w:cs="仿宋"/>
          <w:b w:val="0"/>
          <w:bCs w:val="0"/>
          <w:spacing w:val="-1"/>
          <w:sz w:val="32"/>
          <w:szCs w:val="32"/>
          <w:u w:val="none"/>
        </w:rPr>
        <w:t>(</w:t>
      </w:r>
      <w:r>
        <w:rPr>
          <w:rFonts w:hint="eastAsia" w:ascii="仿宋" w:hAnsi="仿宋" w:eastAsia="仿宋" w:cs="仿宋"/>
          <w:b w:val="0"/>
          <w:bCs w:val="0"/>
          <w:spacing w:val="-1"/>
          <w:sz w:val="32"/>
          <w:szCs w:val="32"/>
          <w:u w:val="none"/>
          <w:lang w:val="en-US" w:eastAsia="zh-CN"/>
        </w:rPr>
        <w:t>三</w:t>
      </w:r>
      <w:r>
        <w:rPr>
          <w:rFonts w:hint="eastAsia" w:ascii="仿宋" w:hAnsi="仿宋" w:eastAsia="仿宋" w:cs="仿宋"/>
          <w:b w:val="0"/>
          <w:bCs w:val="0"/>
          <w:spacing w:val="-1"/>
          <w:sz w:val="32"/>
          <w:szCs w:val="32"/>
          <w:u w:val="none"/>
        </w:rPr>
        <w:t>)废水监测方案</w:t>
      </w:r>
    </w:p>
    <w:p w14:paraId="7C025B7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15"/>
          <w:sz w:val="24"/>
          <w:szCs w:val="24"/>
          <w:u w:val="none"/>
          <w:lang w:val="en-US" w:eastAsia="en-US"/>
        </w:rPr>
      </w:pPr>
      <w:r>
        <w:rPr>
          <w:rFonts w:hint="eastAsia" w:ascii="仿宋" w:hAnsi="仿宋" w:eastAsia="仿宋" w:cs="仿宋"/>
          <w:b w:val="0"/>
          <w:bCs w:val="0"/>
          <w:spacing w:val="15"/>
          <w:sz w:val="24"/>
          <w:szCs w:val="24"/>
          <w:u w:val="none"/>
          <w:lang w:val="en-US" w:eastAsia="en-US"/>
        </w:rPr>
        <w:t>1、废水监测项目及监测频次见表9。</w:t>
      </w:r>
    </w:p>
    <w:p w14:paraId="3E34368B">
      <w:pPr>
        <w:pStyle w:val="7"/>
        <w:keepNext w:val="0"/>
        <w:keepLines w:val="0"/>
        <w:pageBreakBefore w:val="0"/>
        <w:widowControl/>
        <w:kinsoku w:val="0"/>
        <w:wordWrap/>
        <w:overflowPunct/>
        <w:topLinePunct w:val="0"/>
        <w:autoSpaceDE w:val="0"/>
        <w:autoSpaceDN w:val="0"/>
        <w:bidi w:val="0"/>
        <w:adjustRightInd w:val="0"/>
        <w:snapToGrid w:val="0"/>
        <w:spacing w:before="122" w:line="219" w:lineRule="auto"/>
        <w:ind w:left="0"/>
        <w:jc w:val="center"/>
        <w:textAlignment w:val="baseline"/>
        <w:rPr>
          <w:rFonts w:hint="eastAsia" w:ascii="仿宋" w:hAnsi="仿宋" w:eastAsia="仿宋" w:cs="仿宋"/>
          <w:b w:val="0"/>
          <w:bCs w:val="0"/>
          <w:snapToGrid w:val="0"/>
          <w:color w:val="000000"/>
          <w:spacing w:val="0"/>
          <w:kern w:val="0"/>
          <w:position w:val="0"/>
          <w:sz w:val="24"/>
          <w:szCs w:val="24"/>
          <w:u w:val="none"/>
          <w:lang w:val="en-US" w:eastAsia="zh-CN" w:bidi="ar-SA"/>
        </w:rPr>
      </w:pPr>
      <w:r>
        <w:rPr>
          <w:rFonts w:hint="eastAsia" w:ascii="仿宋" w:hAnsi="仿宋" w:eastAsia="仿宋" w:cs="仿宋"/>
          <w:b w:val="0"/>
          <w:bCs w:val="0"/>
          <w:snapToGrid w:val="0"/>
          <w:color w:val="000000"/>
          <w:spacing w:val="0"/>
          <w:kern w:val="0"/>
          <w:position w:val="0"/>
          <w:sz w:val="24"/>
          <w:szCs w:val="24"/>
          <w:u w:val="none"/>
          <w:lang w:val="en-US" w:eastAsia="zh-CN" w:bidi="ar-SA"/>
        </w:rPr>
        <w:t>表9 废水污染源监测内容一览表</w:t>
      </w:r>
    </w:p>
    <w:p w14:paraId="0CB016C5">
      <w:pPr>
        <w:spacing w:line="132" w:lineRule="auto"/>
        <w:rPr>
          <w:rFonts w:hint="eastAsia" w:ascii="仿宋" w:hAnsi="仿宋" w:eastAsia="仿宋" w:cs="仿宋"/>
          <w:b w:val="0"/>
          <w:bCs w:val="0"/>
          <w:sz w:val="2"/>
          <w:u w:val="none"/>
        </w:rPr>
      </w:pPr>
    </w:p>
    <w:tbl>
      <w:tblPr>
        <w:tblStyle w:val="31"/>
        <w:tblW w:w="93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2"/>
        <w:gridCol w:w="1225"/>
        <w:gridCol w:w="1323"/>
        <w:gridCol w:w="1900"/>
        <w:gridCol w:w="1534"/>
        <w:gridCol w:w="1241"/>
        <w:gridCol w:w="1318"/>
      </w:tblGrid>
      <w:tr w14:paraId="6F07B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jc w:val="center"/>
        </w:trPr>
        <w:tc>
          <w:tcPr>
            <w:tcW w:w="832" w:type="dxa"/>
            <w:vAlign w:val="center"/>
          </w:tcPr>
          <w:p w14:paraId="29DD39DF">
            <w:pPr>
              <w:pStyle w:val="30"/>
              <w:spacing w:before="12" w:line="226" w:lineRule="auto"/>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spacing w:val="1"/>
                <w:sz w:val="21"/>
                <w:szCs w:val="21"/>
                <w:u w:val="none"/>
              </w:rPr>
              <w:t>类型</w:t>
            </w:r>
          </w:p>
        </w:tc>
        <w:tc>
          <w:tcPr>
            <w:tcW w:w="1225" w:type="dxa"/>
            <w:vAlign w:val="center"/>
          </w:tcPr>
          <w:p w14:paraId="1820053B">
            <w:pPr>
              <w:pStyle w:val="30"/>
              <w:spacing w:before="12" w:line="226" w:lineRule="auto"/>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spacing w:val="1"/>
                <w:sz w:val="21"/>
                <w:szCs w:val="21"/>
                <w:u w:val="none"/>
              </w:rPr>
              <w:t>排放口编号</w:t>
            </w:r>
          </w:p>
        </w:tc>
        <w:tc>
          <w:tcPr>
            <w:tcW w:w="1323" w:type="dxa"/>
            <w:vAlign w:val="center"/>
          </w:tcPr>
          <w:p w14:paraId="51E5F8FB">
            <w:pPr>
              <w:pStyle w:val="30"/>
              <w:spacing w:before="12" w:line="226" w:lineRule="auto"/>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spacing w:val="1"/>
                <w:sz w:val="21"/>
                <w:szCs w:val="21"/>
                <w:u w:val="none"/>
              </w:rPr>
              <w:t>监测点位</w:t>
            </w:r>
          </w:p>
        </w:tc>
        <w:tc>
          <w:tcPr>
            <w:tcW w:w="1900" w:type="dxa"/>
            <w:vAlign w:val="center"/>
          </w:tcPr>
          <w:p w14:paraId="1EA63376">
            <w:pPr>
              <w:pStyle w:val="30"/>
              <w:spacing w:before="12" w:line="226" w:lineRule="auto"/>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spacing w:val="1"/>
                <w:sz w:val="21"/>
                <w:szCs w:val="21"/>
                <w:u w:val="none"/>
              </w:rPr>
              <w:t>监测项目</w:t>
            </w:r>
          </w:p>
        </w:tc>
        <w:tc>
          <w:tcPr>
            <w:tcW w:w="1534" w:type="dxa"/>
            <w:vAlign w:val="center"/>
          </w:tcPr>
          <w:p w14:paraId="38A38F8B">
            <w:pPr>
              <w:pStyle w:val="30"/>
              <w:spacing w:before="12" w:line="226" w:lineRule="auto"/>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spacing w:val="1"/>
                <w:sz w:val="21"/>
                <w:szCs w:val="21"/>
                <w:u w:val="none"/>
              </w:rPr>
              <w:t>监测频次</w:t>
            </w:r>
          </w:p>
        </w:tc>
        <w:tc>
          <w:tcPr>
            <w:tcW w:w="1241" w:type="dxa"/>
            <w:vAlign w:val="center"/>
          </w:tcPr>
          <w:p w14:paraId="0EC274FF">
            <w:pPr>
              <w:pStyle w:val="30"/>
              <w:spacing w:before="12" w:line="226" w:lineRule="auto"/>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spacing w:val="1"/>
                <w:sz w:val="21"/>
                <w:szCs w:val="21"/>
                <w:u w:val="none"/>
              </w:rPr>
              <w:t>监测方式</w:t>
            </w:r>
          </w:p>
        </w:tc>
        <w:tc>
          <w:tcPr>
            <w:tcW w:w="1318" w:type="dxa"/>
            <w:vAlign w:val="center"/>
          </w:tcPr>
          <w:p w14:paraId="1CD03CE2">
            <w:pPr>
              <w:pStyle w:val="30"/>
              <w:spacing w:before="12" w:line="226" w:lineRule="auto"/>
              <w:ind w:left="0" w:leftChars="0" w:right="0" w:rightChars="0" w:firstLine="0" w:firstLineChars="0"/>
              <w:jc w:val="center"/>
              <w:rPr>
                <w:rFonts w:hint="default" w:ascii="仿宋" w:hAnsi="仿宋" w:eastAsia="仿宋" w:cs="仿宋"/>
                <w:b w:val="0"/>
                <w:bCs w:val="0"/>
                <w:spacing w:val="1"/>
                <w:sz w:val="21"/>
                <w:szCs w:val="21"/>
                <w:u w:val="none"/>
                <w:lang w:val="en-US" w:eastAsia="zh-CN"/>
              </w:rPr>
            </w:pPr>
            <w:r>
              <w:rPr>
                <w:rFonts w:hint="eastAsia" w:ascii="仿宋" w:hAnsi="仿宋" w:eastAsia="仿宋" w:cs="仿宋"/>
                <w:b w:val="0"/>
                <w:bCs w:val="0"/>
                <w:spacing w:val="1"/>
                <w:sz w:val="21"/>
                <w:szCs w:val="21"/>
                <w:u w:val="none"/>
                <w:lang w:val="en-US" w:eastAsia="zh-CN"/>
              </w:rPr>
              <w:t>标准依据</w:t>
            </w:r>
          </w:p>
        </w:tc>
      </w:tr>
      <w:tr w14:paraId="3F9B6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jc w:val="center"/>
        </w:trPr>
        <w:tc>
          <w:tcPr>
            <w:tcW w:w="832" w:type="dxa"/>
            <w:vMerge w:val="restart"/>
            <w:vAlign w:val="center"/>
          </w:tcPr>
          <w:p w14:paraId="3011CE2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废水排</w:t>
            </w:r>
          </w:p>
          <w:p w14:paraId="0F14A7F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放口</w:t>
            </w:r>
          </w:p>
        </w:tc>
        <w:tc>
          <w:tcPr>
            <w:tcW w:w="1225" w:type="dxa"/>
            <w:vAlign w:val="center"/>
          </w:tcPr>
          <w:p w14:paraId="180358B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DW010</w:t>
            </w:r>
          </w:p>
        </w:tc>
        <w:tc>
          <w:tcPr>
            <w:tcW w:w="1323" w:type="dxa"/>
            <w:vAlign w:val="center"/>
          </w:tcPr>
          <w:p w14:paraId="2754B59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接触池出口</w:t>
            </w:r>
          </w:p>
        </w:tc>
        <w:tc>
          <w:tcPr>
            <w:tcW w:w="1900" w:type="dxa"/>
            <w:vAlign w:val="center"/>
          </w:tcPr>
          <w:p w14:paraId="01CD52E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总余氯</w:t>
            </w:r>
          </w:p>
        </w:tc>
        <w:tc>
          <w:tcPr>
            <w:tcW w:w="1534" w:type="dxa"/>
            <w:vAlign w:val="center"/>
          </w:tcPr>
          <w:p w14:paraId="5FF0D0A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连续监测</w:t>
            </w:r>
          </w:p>
        </w:tc>
        <w:tc>
          <w:tcPr>
            <w:tcW w:w="1241" w:type="dxa"/>
            <w:vAlign w:val="center"/>
          </w:tcPr>
          <w:p w14:paraId="738E64F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自动监测</w:t>
            </w:r>
          </w:p>
        </w:tc>
        <w:tc>
          <w:tcPr>
            <w:tcW w:w="1318" w:type="dxa"/>
            <w:vAlign w:val="center"/>
          </w:tcPr>
          <w:p w14:paraId="472C26E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color w:val="000000"/>
                <w:sz w:val="21"/>
                <w:szCs w:val="21"/>
                <w:u w:val="none"/>
                <w:lang w:val="en-US" w:eastAsia="zh-CN"/>
              </w:rPr>
              <w:t>企业自行要求</w:t>
            </w:r>
          </w:p>
        </w:tc>
      </w:tr>
      <w:tr w14:paraId="0AC0E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jc w:val="center"/>
        </w:trPr>
        <w:tc>
          <w:tcPr>
            <w:tcW w:w="832" w:type="dxa"/>
            <w:vMerge w:val="continue"/>
            <w:vAlign w:val="center"/>
          </w:tcPr>
          <w:p w14:paraId="4109FBA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225" w:type="dxa"/>
            <w:vMerge w:val="restart"/>
            <w:vAlign w:val="center"/>
          </w:tcPr>
          <w:p w14:paraId="4EAF4D4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DW001</w:t>
            </w:r>
          </w:p>
        </w:tc>
        <w:tc>
          <w:tcPr>
            <w:tcW w:w="1323" w:type="dxa"/>
            <w:vMerge w:val="restart"/>
            <w:vAlign w:val="center"/>
          </w:tcPr>
          <w:p w14:paraId="397CAAC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废水总排口</w:t>
            </w:r>
          </w:p>
        </w:tc>
        <w:tc>
          <w:tcPr>
            <w:tcW w:w="1900" w:type="dxa"/>
            <w:vAlign w:val="top"/>
          </w:tcPr>
          <w:p w14:paraId="47C4F59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流量</w:t>
            </w:r>
          </w:p>
        </w:tc>
        <w:tc>
          <w:tcPr>
            <w:tcW w:w="1534" w:type="dxa"/>
            <w:vAlign w:val="center"/>
          </w:tcPr>
          <w:p w14:paraId="7C0B60D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连续监测</w:t>
            </w:r>
          </w:p>
        </w:tc>
        <w:tc>
          <w:tcPr>
            <w:tcW w:w="1241" w:type="dxa"/>
            <w:vAlign w:val="top"/>
          </w:tcPr>
          <w:p w14:paraId="0612A6A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自动监测</w:t>
            </w:r>
          </w:p>
        </w:tc>
        <w:tc>
          <w:tcPr>
            <w:tcW w:w="1318" w:type="dxa"/>
            <w:vAlign w:val="top"/>
          </w:tcPr>
          <w:p w14:paraId="1E369F0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color w:val="000000"/>
                <w:sz w:val="21"/>
                <w:szCs w:val="21"/>
                <w:u w:val="none"/>
                <w:lang w:eastAsia="zh-CN"/>
              </w:rPr>
              <w:t>HJ 1105-2020</w:t>
            </w:r>
          </w:p>
        </w:tc>
      </w:tr>
      <w:tr w14:paraId="42024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jc w:val="center"/>
        </w:trPr>
        <w:tc>
          <w:tcPr>
            <w:tcW w:w="832" w:type="dxa"/>
            <w:vMerge w:val="continue"/>
            <w:vAlign w:val="center"/>
          </w:tcPr>
          <w:p w14:paraId="0BAF60B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225" w:type="dxa"/>
            <w:vMerge w:val="continue"/>
            <w:vAlign w:val="top"/>
          </w:tcPr>
          <w:p w14:paraId="74A9CAB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323" w:type="dxa"/>
            <w:vMerge w:val="continue"/>
            <w:vAlign w:val="top"/>
          </w:tcPr>
          <w:p w14:paraId="793ECF6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900" w:type="dxa"/>
            <w:vAlign w:val="top"/>
          </w:tcPr>
          <w:p w14:paraId="279635A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PH值</w:t>
            </w:r>
          </w:p>
        </w:tc>
        <w:tc>
          <w:tcPr>
            <w:tcW w:w="1534" w:type="dxa"/>
            <w:vAlign w:val="center"/>
          </w:tcPr>
          <w:p w14:paraId="135E989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连续监测</w:t>
            </w:r>
          </w:p>
        </w:tc>
        <w:tc>
          <w:tcPr>
            <w:tcW w:w="1241" w:type="dxa"/>
            <w:vAlign w:val="top"/>
          </w:tcPr>
          <w:p w14:paraId="1334C4F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自动监测</w:t>
            </w:r>
          </w:p>
        </w:tc>
        <w:tc>
          <w:tcPr>
            <w:tcW w:w="1318" w:type="dxa"/>
            <w:vAlign w:val="top"/>
          </w:tcPr>
          <w:p w14:paraId="475CED3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color w:val="000000"/>
                <w:sz w:val="21"/>
                <w:szCs w:val="21"/>
                <w:u w:val="none"/>
                <w:lang w:eastAsia="zh-CN"/>
              </w:rPr>
              <w:t>HJ 1105-2020</w:t>
            </w:r>
          </w:p>
        </w:tc>
      </w:tr>
      <w:tr w14:paraId="0F1F7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jc w:val="center"/>
        </w:trPr>
        <w:tc>
          <w:tcPr>
            <w:tcW w:w="832" w:type="dxa"/>
            <w:vMerge w:val="continue"/>
            <w:vAlign w:val="center"/>
          </w:tcPr>
          <w:p w14:paraId="3DF01BE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225" w:type="dxa"/>
            <w:vMerge w:val="continue"/>
            <w:vAlign w:val="top"/>
          </w:tcPr>
          <w:p w14:paraId="0BB489C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323" w:type="dxa"/>
            <w:vMerge w:val="continue"/>
            <w:vAlign w:val="top"/>
          </w:tcPr>
          <w:p w14:paraId="76FC2B8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900" w:type="dxa"/>
            <w:vAlign w:val="top"/>
          </w:tcPr>
          <w:p w14:paraId="047DDAA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化学需氧量</w:t>
            </w:r>
          </w:p>
        </w:tc>
        <w:tc>
          <w:tcPr>
            <w:tcW w:w="1534" w:type="dxa"/>
            <w:vAlign w:val="center"/>
          </w:tcPr>
          <w:p w14:paraId="2241A17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连续监测</w:t>
            </w:r>
          </w:p>
        </w:tc>
        <w:tc>
          <w:tcPr>
            <w:tcW w:w="1241" w:type="dxa"/>
            <w:vAlign w:val="top"/>
          </w:tcPr>
          <w:p w14:paraId="2404444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自动监测</w:t>
            </w:r>
          </w:p>
        </w:tc>
        <w:tc>
          <w:tcPr>
            <w:tcW w:w="1318" w:type="dxa"/>
            <w:vAlign w:val="top"/>
          </w:tcPr>
          <w:p w14:paraId="74C0F4E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color w:val="000000"/>
                <w:sz w:val="21"/>
                <w:szCs w:val="21"/>
                <w:u w:val="none"/>
                <w:lang w:eastAsia="zh-CN"/>
              </w:rPr>
              <w:t>HJ 1105-2020</w:t>
            </w:r>
          </w:p>
        </w:tc>
      </w:tr>
      <w:tr w14:paraId="254B2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832" w:type="dxa"/>
            <w:vMerge w:val="continue"/>
            <w:vAlign w:val="center"/>
          </w:tcPr>
          <w:p w14:paraId="546D8FF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225" w:type="dxa"/>
            <w:vMerge w:val="continue"/>
            <w:vAlign w:val="top"/>
          </w:tcPr>
          <w:p w14:paraId="704F4B3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323" w:type="dxa"/>
            <w:vMerge w:val="continue"/>
            <w:vAlign w:val="top"/>
          </w:tcPr>
          <w:p w14:paraId="19ECFA7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900" w:type="dxa"/>
            <w:vAlign w:val="center"/>
          </w:tcPr>
          <w:p w14:paraId="3FDE2BA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悬浮物</w:t>
            </w:r>
          </w:p>
        </w:tc>
        <w:tc>
          <w:tcPr>
            <w:tcW w:w="1534" w:type="dxa"/>
            <w:vAlign w:val="center"/>
          </w:tcPr>
          <w:p w14:paraId="13628BC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1次/周</w:t>
            </w:r>
          </w:p>
        </w:tc>
        <w:tc>
          <w:tcPr>
            <w:tcW w:w="1241" w:type="dxa"/>
            <w:vAlign w:val="center"/>
          </w:tcPr>
          <w:p w14:paraId="438579A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手工监测</w:t>
            </w:r>
          </w:p>
        </w:tc>
        <w:tc>
          <w:tcPr>
            <w:tcW w:w="1318" w:type="dxa"/>
            <w:vAlign w:val="center"/>
          </w:tcPr>
          <w:p w14:paraId="265FC0B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color w:val="000000"/>
                <w:sz w:val="21"/>
                <w:szCs w:val="21"/>
                <w:u w:val="none"/>
                <w:lang w:eastAsia="zh-CN"/>
              </w:rPr>
              <w:t>HJ 1105-2020</w:t>
            </w:r>
          </w:p>
        </w:tc>
      </w:tr>
      <w:tr w14:paraId="2ECF6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jc w:val="center"/>
        </w:trPr>
        <w:tc>
          <w:tcPr>
            <w:tcW w:w="832" w:type="dxa"/>
            <w:vMerge w:val="continue"/>
            <w:vAlign w:val="center"/>
          </w:tcPr>
          <w:p w14:paraId="715DB26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225" w:type="dxa"/>
            <w:vMerge w:val="continue"/>
            <w:vAlign w:val="top"/>
          </w:tcPr>
          <w:p w14:paraId="3DC0F3F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323" w:type="dxa"/>
            <w:vMerge w:val="continue"/>
            <w:vAlign w:val="top"/>
          </w:tcPr>
          <w:p w14:paraId="531FB80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900" w:type="dxa"/>
            <w:vAlign w:val="center"/>
          </w:tcPr>
          <w:p w14:paraId="7C795AD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粪大肠菌群</w:t>
            </w:r>
          </w:p>
        </w:tc>
        <w:tc>
          <w:tcPr>
            <w:tcW w:w="1534" w:type="dxa"/>
            <w:vAlign w:val="center"/>
          </w:tcPr>
          <w:p w14:paraId="72778B7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1次/月</w:t>
            </w:r>
          </w:p>
        </w:tc>
        <w:tc>
          <w:tcPr>
            <w:tcW w:w="1241" w:type="dxa"/>
            <w:vAlign w:val="center"/>
          </w:tcPr>
          <w:p w14:paraId="6A6B356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手工监测</w:t>
            </w:r>
          </w:p>
        </w:tc>
        <w:tc>
          <w:tcPr>
            <w:tcW w:w="1318" w:type="dxa"/>
            <w:vAlign w:val="center"/>
          </w:tcPr>
          <w:p w14:paraId="4C1F16F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color w:val="000000"/>
                <w:sz w:val="21"/>
                <w:szCs w:val="21"/>
                <w:u w:val="none"/>
                <w:lang w:eastAsia="zh-CN"/>
              </w:rPr>
              <w:t>HJ 1105-2020</w:t>
            </w:r>
          </w:p>
        </w:tc>
      </w:tr>
      <w:tr w14:paraId="2B016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832" w:type="dxa"/>
            <w:vMerge w:val="continue"/>
            <w:vAlign w:val="center"/>
          </w:tcPr>
          <w:p w14:paraId="053DAE7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225" w:type="dxa"/>
            <w:vMerge w:val="continue"/>
            <w:vAlign w:val="top"/>
          </w:tcPr>
          <w:p w14:paraId="1C5CD34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323" w:type="dxa"/>
            <w:vMerge w:val="continue"/>
            <w:vAlign w:val="top"/>
          </w:tcPr>
          <w:p w14:paraId="1F6195B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900" w:type="dxa"/>
            <w:vAlign w:val="center"/>
          </w:tcPr>
          <w:p w14:paraId="5FC6BD8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五日生化需氧量</w:t>
            </w:r>
          </w:p>
        </w:tc>
        <w:tc>
          <w:tcPr>
            <w:tcW w:w="1534" w:type="dxa"/>
            <w:vAlign w:val="center"/>
          </w:tcPr>
          <w:p w14:paraId="4BBA68D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1次/季</w:t>
            </w:r>
          </w:p>
        </w:tc>
        <w:tc>
          <w:tcPr>
            <w:tcW w:w="1241" w:type="dxa"/>
            <w:vAlign w:val="center"/>
          </w:tcPr>
          <w:p w14:paraId="51F0756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手工监测</w:t>
            </w:r>
          </w:p>
        </w:tc>
        <w:tc>
          <w:tcPr>
            <w:tcW w:w="1318" w:type="dxa"/>
            <w:vAlign w:val="center"/>
          </w:tcPr>
          <w:p w14:paraId="3B47CB1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color w:val="000000"/>
                <w:sz w:val="21"/>
                <w:szCs w:val="21"/>
                <w:u w:val="none"/>
                <w:lang w:eastAsia="zh-CN"/>
              </w:rPr>
              <w:t>HJ 1105-2020</w:t>
            </w:r>
          </w:p>
        </w:tc>
      </w:tr>
      <w:tr w14:paraId="4CEB0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832" w:type="dxa"/>
            <w:vMerge w:val="continue"/>
            <w:vAlign w:val="center"/>
          </w:tcPr>
          <w:p w14:paraId="0925751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225" w:type="dxa"/>
            <w:vMerge w:val="continue"/>
            <w:vAlign w:val="top"/>
          </w:tcPr>
          <w:p w14:paraId="460D295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323" w:type="dxa"/>
            <w:vMerge w:val="continue"/>
            <w:vAlign w:val="top"/>
          </w:tcPr>
          <w:p w14:paraId="107E9E0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900" w:type="dxa"/>
            <w:vAlign w:val="center"/>
          </w:tcPr>
          <w:p w14:paraId="163A0C7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石油类</w:t>
            </w:r>
          </w:p>
        </w:tc>
        <w:tc>
          <w:tcPr>
            <w:tcW w:w="1534" w:type="dxa"/>
            <w:vAlign w:val="center"/>
          </w:tcPr>
          <w:p w14:paraId="727FF38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1次/季</w:t>
            </w:r>
          </w:p>
        </w:tc>
        <w:tc>
          <w:tcPr>
            <w:tcW w:w="1241" w:type="dxa"/>
            <w:vAlign w:val="center"/>
          </w:tcPr>
          <w:p w14:paraId="29E8FE7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手工监测</w:t>
            </w:r>
          </w:p>
        </w:tc>
        <w:tc>
          <w:tcPr>
            <w:tcW w:w="1318" w:type="dxa"/>
            <w:vAlign w:val="center"/>
          </w:tcPr>
          <w:p w14:paraId="157A401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color w:val="000000"/>
                <w:sz w:val="21"/>
                <w:szCs w:val="21"/>
                <w:u w:val="none"/>
                <w:lang w:eastAsia="zh-CN"/>
              </w:rPr>
              <w:t>HJ 1105-2020</w:t>
            </w:r>
          </w:p>
        </w:tc>
      </w:tr>
      <w:tr w14:paraId="64BDB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832" w:type="dxa"/>
            <w:vMerge w:val="continue"/>
            <w:vAlign w:val="center"/>
          </w:tcPr>
          <w:p w14:paraId="37FC28A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225" w:type="dxa"/>
            <w:vMerge w:val="continue"/>
            <w:vAlign w:val="top"/>
          </w:tcPr>
          <w:p w14:paraId="081834D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323" w:type="dxa"/>
            <w:vMerge w:val="continue"/>
            <w:vAlign w:val="top"/>
          </w:tcPr>
          <w:p w14:paraId="5ED5094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900" w:type="dxa"/>
            <w:vAlign w:val="center"/>
          </w:tcPr>
          <w:p w14:paraId="3241B5D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挥发酚</w:t>
            </w:r>
          </w:p>
        </w:tc>
        <w:tc>
          <w:tcPr>
            <w:tcW w:w="1534" w:type="dxa"/>
            <w:vAlign w:val="center"/>
          </w:tcPr>
          <w:p w14:paraId="57D0A49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1次/季</w:t>
            </w:r>
          </w:p>
        </w:tc>
        <w:tc>
          <w:tcPr>
            <w:tcW w:w="1241" w:type="dxa"/>
            <w:vAlign w:val="center"/>
          </w:tcPr>
          <w:p w14:paraId="4411736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手工监测</w:t>
            </w:r>
          </w:p>
        </w:tc>
        <w:tc>
          <w:tcPr>
            <w:tcW w:w="1318" w:type="dxa"/>
            <w:vAlign w:val="center"/>
          </w:tcPr>
          <w:p w14:paraId="49E550D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color w:val="000000"/>
                <w:sz w:val="21"/>
                <w:szCs w:val="21"/>
                <w:u w:val="none"/>
                <w:lang w:eastAsia="zh-CN"/>
              </w:rPr>
              <w:t>HJ 1105-2020</w:t>
            </w:r>
          </w:p>
        </w:tc>
      </w:tr>
      <w:tr w14:paraId="22328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jc w:val="center"/>
        </w:trPr>
        <w:tc>
          <w:tcPr>
            <w:tcW w:w="832" w:type="dxa"/>
            <w:vMerge w:val="continue"/>
            <w:vAlign w:val="center"/>
          </w:tcPr>
          <w:p w14:paraId="1271D77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225" w:type="dxa"/>
            <w:vMerge w:val="continue"/>
            <w:vAlign w:val="top"/>
          </w:tcPr>
          <w:p w14:paraId="7FF1CD8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323" w:type="dxa"/>
            <w:vMerge w:val="continue"/>
            <w:vAlign w:val="top"/>
          </w:tcPr>
          <w:p w14:paraId="1381942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900" w:type="dxa"/>
            <w:vAlign w:val="center"/>
          </w:tcPr>
          <w:p w14:paraId="322B3D7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动植物油</w:t>
            </w:r>
          </w:p>
        </w:tc>
        <w:tc>
          <w:tcPr>
            <w:tcW w:w="1534" w:type="dxa"/>
            <w:vAlign w:val="center"/>
          </w:tcPr>
          <w:p w14:paraId="5884167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1次/季</w:t>
            </w:r>
          </w:p>
        </w:tc>
        <w:tc>
          <w:tcPr>
            <w:tcW w:w="1241" w:type="dxa"/>
            <w:vAlign w:val="center"/>
          </w:tcPr>
          <w:p w14:paraId="5876C53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手工监测</w:t>
            </w:r>
          </w:p>
        </w:tc>
        <w:tc>
          <w:tcPr>
            <w:tcW w:w="1318" w:type="dxa"/>
            <w:vAlign w:val="center"/>
          </w:tcPr>
          <w:p w14:paraId="119CC3D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color w:val="000000"/>
                <w:sz w:val="21"/>
                <w:szCs w:val="21"/>
                <w:u w:val="none"/>
                <w:lang w:eastAsia="zh-CN"/>
              </w:rPr>
              <w:t>HJ 1105-2020</w:t>
            </w:r>
          </w:p>
        </w:tc>
      </w:tr>
      <w:tr w14:paraId="025D9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832" w:type="dxa"/>
            <w:vMerge w:val="continue"/>
            <w:vAlign w:val="center"/>
          </w:tcPr>
          <w:p w14:paraId="4185107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225" w:type="dxa"/>
            <w:vMerge w:val="continue"/>
            <w:vAlign w:val="top"/>
          </w:tcPr>
          <w:p w14:paraId="240963E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323" w:type="dxa"/>
            <w:vMerge w:val="continue"/>
            <w:vAlign w:val="top"/>
          </w:tcPr>
          <w:p w14:paraId="0F71AE8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900" w:type="dxa"/>
            <w:vAlign w:val="center"/>
          </w:tcPr>
          <w:p w14:paraId="0C602CB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阴离子表面活剂</w:t>
            </w:r>
          </w:p>
        </w:tc>
        <w:tc>
          <w:tcPr>
            <w:tcW w:w="1534" w:type="dxa"/>
            <w:vAlign w:val="center"/>
          </w:tcPr>
          <w:p w14:paraId="1C10468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1次/季</w:t>
            </w:r>
          </w:p>
        </w:tc>
        <w:tc>
          <w:tcPr>
            <w:tcW w:w="1241" w:type="dxa"/>
            <w:vAlign w:val="center"/>
          </w:tcPr>
          <w:p w14:paraId="04FB6C2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手工监测</w:t>
            </w:r>
          </w:p>
        </w:tc>
        <w:tc>
          <w:tcPr>
            <w:tcW w:w="1318" w:type="dxa"/>
            <w:vAlign w:val="center"/>
          </w:tcPr>
          <w:p w14:paraId="660D015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color w:val="000000"/>
                <w:sz w:val="21"/>
                <w:szCs w:val="21"/>
                <w:u w:val="none"/>
                <w:lang w:eastAsia="zh-CN"/>
              </w:rPr>
              <w:t>HJ 1105-2020</w:t>
            </w:r>
          </w:p>
        </w:tc>
      </w:tr>
      <w:tr w14:paraId="19466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832" w:type="dxa"/>
            <w:vMerge w:val="continue"/>
            <w:vAlign w:val="center"/>
          </w:tcPr>
          <w:p w14:paraId="4BC5035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225" w:type="dxa"/>
            <w:vMerge w:val="continue"/>
            <w:vAlign w:val="top"/>
          </w:tcPr>
          <w:p w14:paraId="31A5BE0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323" w:type="dxa"/>
            <w:vMerge w:val="continue"/>
            <w:vAlign w:val="top"/>
          </w:tcPr>
          <w:p w14:paraId="78A9329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900" w:type="dxa"/>
            <w:vAlign w:val="center"/>
          </w:tcPr>
          <w:p w14:paraId="1FCA284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总氰化物</w:t>
            </w:r>
          </w:p>
        </w:tc>
        <w:tc>
          <w:tcPr>
            <w:tcW w:w="1534" w:type="dxa"/>
            <w:vAlign w:val="center"/>
          </w:tcPr>
          <w:p w14:paraId="12BF19C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1次/季</w:t>
            </w:r>
          </w:p>
        </w:tc>
        <w:tc>
          <w:tcPr>
            <w:tcW w:w="1241" w:type="dxa"/>
            <w:vAlign w:val="center"/>
          </w:tcPr>
          <w:p w14:paraId="752A41E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手工监测</w:t>
            </w:r>
          </w:p>
        </w:tc>
        <w:tc>
          <w:tcPr>
            <w:tcW w:w="1318" w:type="dxa"/>
            <w:vAlign w:val="center"/>
          </w:tcPr>
          <w:p w14:paraId="613C042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color w:val="000000"/>
                <w:sz w:val="21"/>
                <w:szCs w:val="21"/>
                <w:u w:val="none"/>
                <w:lang w:eastAsia="zh-CN"/>
              </w:rPr>
              <w:t>HJ 1105-2020</w:t>
            </w:r>
          </w:p>
        </w:tc>
      </w:tr>
      <w:tr w14:paraId="3FDC0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832" w:type="dxa"/>
            <w:vMerge w:val="continue"/>
            <w:vAlign w:val="center"/>
          </w:tcPr>
          <w:p w14:paraId="29ABA51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225" w:type="dxa"/>
            <w:vMerge w:val="continue"/>
            <w:vAlign w:val="top"/>
          </w:tcPr>
          <w:p w14:paraId="3B8ADCC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323" w:type="dxa"/>
            <w:vMerge w:val="continue"/>
            <w:vAlign w:val="top"/>
          </w:tcPr>
          <w:p w14:paraId="0BF051D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900" w:type="dxa"/>
            <w:vAlign w:val="center"/>
          </w:tcPr>
          <w:p w14:paraId="371CE69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val="0"/>
                <w:color w:val="FF0000"/>
                <w:spacing w:val="0"/>
                <w:kern w:val="0"/>
                <w:sz w:val="21"/>
                <w:szCs w:val="21"/>
                <w:u w:val="none"/>
                <w:lang w:val="en-US" w:eastAsia="zh-CN" w:bidi="ar-SA"/>
              </w:rPr>
              <w:t>氨氮</w:t>
            </w:r>
          </w:p>
        </w:tc>
        <w:tc>
          <w:tcPr>
            <w:tcW w:w="1534" w:type="dxa"/>
            <w:vAlign w:val="center"/>
          </w:tcPr>
          <w:p w14:paraId="51686F3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val="0"/>
                <w:color w:val="FF0000"/>
                <w:spacing w:val="0"/>
                <w:kern w:val="0"/>
                <w:sz w:val="21"/>
                <w:szCs w:val="21"/>
                <w:u w:val="none"/>
                <w:lang w:val="en-US" w:eastAsia="zh-CN" w:bidi="ar-SA"/>
              </w:rPr>
              <w:t>1次/年</w:t>
            </w:r>
          </w:p>
        </w:tc>
        <w:tc>
          <w:tcPr>
            <w:tcW w:w="1241" w:type="dxa"/>
            <w:vAlign w:val="center"/>
          </w:tcPr>
          <w:p w14:paraId="4740A68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val="0"/>
                <w:color w:val="FF0000"/>
                <w:spacing w:val="0"/>
                <w:kern w:val="0"/>
                <w:sz w:val="21"/>
                <w:szCs w:val="21"/>
                <w:u w:val="none"/>
                <w:lang w:val="en-US" w:eastAsia="zh-CN" w:bidi="ar-SA"/>
              </w:rPr>
              <w:t>手工监测</w:t>
            </w:r>
          </w:p>
        </w:tc>
        <w:tc>
          <w:tcPr>
            <w:tcW w:w="1318" w:type="dxa"/>
            <w:vAlign w:val="center"/>
          </w:tcPr>
          <w:p w14:paraId="072D196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color w:val="FF0000"/>
                <w:sz w:val="21"/>
                <w:szCs w:val="21"/>
                <w:u w:val="none"/>
                <w:lang w:val="en-US" w:eastAsia="zh-CN"/>
              </w:rPr>
              <w:t>企业自行要求</w:t>
            </w:r>
          </w:p>
        </w:tc>
      </w:tr>
      <w:tr w14:paraId="32C15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832" w:type="dxa"/>
            <w:vMerge w:val="continue"/>
            <w:vAlign w:val="center"/>
          </w:tcPr>
          <w:p w14:paraId="1E6D144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225" w:type="dxa"/>
            <w:vMerge w:val="continue"/>
            <w:vAlign w:val="top"/>
          </w:tcPr>
          <w:p w14:paraId="12CE83D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323" w:type="dxa"/>
            <w:vMerge w:val="continue"/>
            <w:vAlign w:val="top"/>
          </w:tcPr>
          <w:p w14:paraId="2EBA61D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900" w:type="dxa"/>
            <w:vAlign w:val="center"/>
          </w:tcPr>
          <w:p w14:paraId="344A170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val="0"/>
                <w:color w:val="FF0000"/>
                <w:spacing w:val="0"/>
                <w:kern w:val="0"/>
                <w:sz w:val="21"/>
                <w:szCs w:val="21"/>
                <w:u w:val="none"/>
                <w:lang w:val="en-US" w:eastAsia="zh-CN" w:bidi="ar-SA"/>
              </w:rPr>
              <w:t>总磷</w:t>
            </w:r>
          </w:p>
        </w:tc>
        <w:tc>
          <w:tcPr>
            <w:tcW w:w="1534" w:type="dxa"/>
            <w:vAlign w:val="center"/>
          </w:tcPr>
          <w:p w14:paraId="10526FA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val="0"/>
                <w:color w:val="FF0000"/>
                <w:spacing w:val="0"/>
                <w:kern w:val="0"/>
                <w:sz w:val="21"/>
                <w:szCs w:val="21"/>
                <w:u w:val="none"/>
                <w:lang w:val="en-US" w:eastAsia="zh-CN" w:bidi="ar-SA"/>
              </w:rPr>
              <w:t>1次/年</w:t>
            </w:r>
          </w:p>
        </w:tc>
        <w:tc>
          <w:tcPr>
            <w:tcW w:w="1241" w:type="dxa"/>
            <w:vAlign w:val="center"/>
          </w:tcPr>
          <w:p w14:paraId="45978BB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val="0"/>
                <w:color w:val="FF0000"/>
                <w:spacing w:val="0"/>
                <w:kern w:val="0"/>
                <w:sz w:val="21"/>
                <w:szCs w:val="21"/>
                <w:u w:val="none"/>
                <w:lang w:val="en-US" w:eastAsia="zh-CN" w:bidi="ar-SA"/>
              </w:rPr>
              <w:t>手工监测</w:t>
            </w:r>
          </w:p>
        </w:tc>
        <w:tc>
          <w:tcPr>
            <w:tcW w:w="1318" w:type="dxa"/>
            <w:vAlign w:val="center"/>
          </w:tcPr>
          <w:p w14:paraId="66F1DEE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color w:val="FF0000"/>
                <w:sz w:val="21"/>
                <w:szCs w:val="21"/>
                <w:u w:val="none"/>
                <w:lang w:val="en-US" w:eastAsia="zh-CN"/>
              </w:rPr>
              <w:t>企业自行要求</w:t>
            </w:r>
          </w:p>
        </w:tc>
      </w:tr>
      <w:tr w14:paraId="02F81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832" w:type="dxa"/>
            <w:vMerge w:val="continue"/>
            <w:vAlign w:val="center"/>
          </w:tcPr>
          <w:p w14:paraId="43706F7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225" w:type="dxa"/>
            <w:vMerge w:val="continue"/>
            <w:vAlign w:val="top"/>
          </w:tcPr>
          <w:p w14:paraId="3BF43B9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323" w:type="dxa"/>
            <w:vMerge w:val="continue"/>
            <w:vAlign w:val="top"/>
          </w:tcPr>
          <w:p w14:paraId="2C725F3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900" w:type="dxa"/>
            <w:shd w:val="clear" w:color="auto" w:fill="auto"/>
            <w:vAlign w:val="center"/>
          </w:tcPr>
          <w:p w14:paraId="5D43947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val="0"/>
                <w:color w:val="FF0000"/>
                <w:spacing w:val="0"/>
                <w:kern w:val="0"/>
                <w:sz w:val="21"/>
                <w:szCs w:val="21"/>
                <w:u w:val="none"/>
                <w:lang w:val="en-US" w:eastAsia="zh-CN" w:bidi="ar-SA"/>
              </w:rPr>
              <w:t>总氮</w:t>
            </w:r>
          </w:p>
        </w:tc>
        <w:tc>
          <w:tcPr>
            <w:tcW w:w="1534" w:type="dxa"/>
            <w:shd w:val="clear" w:color="auto" w:fill="auto"/>
            <w:vAlign w:val="center"/>
          </w:tcPr>
          <w:p w14:paraId="6CE183C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val="0"/>
                <w:color w:val="FF0000"/>
                <w:spacing w:val="0"/>
                <w:kern w:val="0"/>
                <w:sz w:val="21"/>
                <w:szCs w:val="21"/>
                <w:u w:val="none"/>
                <w:lang w:val="en-US" w:eastAsia="zh-CN" w:bidi="ar-SA"/>
              </w:rPr>
              <w:t>1次/年</w:t>
            </w:r>
          </w:p>
        </w:tc>
        <w:tc>
          <w:tcPr>
            <w:tcW w:w="1241" w:type="dxa"/>
            <w:shd w:val="clear" w:color="auto" w:fill="auto"/>
            <w:vAlign w:val="center"/>
          </w:tcPr>
          <w:p w14:paraId="04254C8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val="0"/>
                <w:color w:val="FF0000"/>
                <w:spacing w:val="0"/>
                <w:kern w:val="0"/>
                <w:sz w:val="21"/>
                <w:szCs w:val="21"/>
                <w:u w:val="none"/>
                <w:lang w:val="en-US" w:eastAsia="zh-CN" w:bidi="ar-SA"/>
              </w:rPr>
              <w:t>手工监测</w:t>
            </w:r>
          </w:p>
        </w:tc>
        <w:tc>
          <w:tcPr>
            <w:tcW w:w="1318" w:type="dxa"/>
            <w:shd w:val="clear" w:color="auto" w:fill="auto"/>
            <w:vAlign w:val="center"/>
          </w:tcPr>
          <w:p w14:paraId="6EF3227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color w:val="FF0000"/>
                <w:sz w:val="21"/>
                <w:szCs w:val="21"/>
                <w:u w:val="none"/>
                <w:lang w:val="en-US" w:eastAsia="zh-CN"/>
              </w:rPr>
              <w:t>企业自行要求</w:t>
            </w:r>
          </w:p>
        </w:tc>
      </w:tr>
    </w:tbl>
    <w:p w14:paraId="3644E4A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15"/>
          <w:sz w:val="24"/>
          <w:szCs w:val="24"/>
          <w:u w:val="none"/>
          <w:lang w:val="en-US" w:eastAsia="en-US"/>
        </w:rPr>
      </w:pPr>
      <w:r>
        <w:rPr>
          <w:rFonts w:hint="eastAsia" w:ascii="仿宋" w:hAnsi="仿宋" w:eastAsia="仿宋" w:cs="仿宋"/>
          <w:b w:val="0"/>
          <w:bCs w:val="0"/>
          <w:spacing w:val="15"/>
          <w:sz w:val="24"/>
          <w:szCs w:val="24"/>
          <w:u w:val="none"/>
          <w:lang w:val="en-US" w:eastAsia="en-US"/>
        </w:rPr>
        <w:t>2、废水污染物监测结果评价标准如下表</w:t>
      </w:r>
      <w:r>
        <w:rPr>
          <w:rFonts w:hint="eastAsia" w:ascii="仿宋" w:hAnsi="仿宋" w:eastAsia="仿宋" w:cs="仿宋"/>
          <w:b w:val="0"/>
          <w:bCs w:val="0"/>
          <w:spacing w:val="15"/>
          <w:sz w:val="24"/>
          <w:szCs w:val="24"/>
          <w:u w:val="none"/>
          <w:lang w:val="en-US" w:eastAsia="zh-CN"/>
        </w:rPr>
        <w:t>10</w:t>
      </w:r>
      <w:r>
        <w:rPr>
          <w:rFonts w:hint="eastAsia" w:ascii="仿宋" w:hAnsi="仿宋" w:eastAsia="仿宋" w:cs="仿宋"/>
          <w:b w:val="0"/>
          <w:bCs w:val="0"/>
          <w:spacing w:val="15"/>
          <w:sz w:val="24"/>
          <w:szCs w:val="24"/>
          <w:u w:val="none"/>
          <w:lang w:val="en-US" w:eastAsia="en-US"/>
        </w:rPr>
        <w:t>所示</w:t>
      </w:r>
    </w:p>
    <w:p w14:paraId="59A1E46C">
      <w:pPr>
        <w:keepNext w:val="0"/>
        <w:keepLines w:val="0"/>
        <w:pageBreakBefore w:val="0"/>
        <w:widowControl/>
        <w:kinsoku w:val="0"/>
        <w:wordWrap/>
        <w:overflowPunct/>
        <w:topLinePunct w:val="0"/>
        <w:autoSpaceDE w:val="0"/>
        <w:autoSpaceDN w:val="0"/>
        <w:bidi w:val="0"/>
        <w:adjustRightInd w:val="0"/>
        <w:snapToGrid w:val="0"/>
        <w:spacing w:line="360" w:lineRule="auto"/>
        <w:ind w:firstLine="2430" w:firstLineChars="900"/>
        <w:textAlignment w:val="baseline"/>
        <w:rPr>
          <w:rFonts w:hint="eastAsia" w:ascii="仿宋" w:hAnsi="仿宋" w:eastAsia="仿宋" w:cs="仿宋"/>
          <w:b w:val="0"/>
          <w:bCs w:val="0"/>
          <w:spacing w:val="15"/>
          <w:sz w:val="24"/>
          <w:szCs w:val="24"/>
          <w:u w:val="none"/>
          <w:lang w:val="en-US" w:eastAsia="zh-CN"/>
        </w:rPr>
      </w:pPr>
      <w:r>
        <w:rPr>
          <w:rFonts w:hint="eastAsia" w:ascii="仿宋" w:hAnsi="仿宋" w:eastAsia="仿宋" w:cs="仿宋"/>
          <w:b w:val="0"/>
          <w:bCs w:val="0"/>
          <w:spacing w:val="15"/>
          <w:sz w:val="24"/>
          <w:szCs w:val="24"/>
          <w:u w:val="none"/>
          <w:lang w:val="en-US" w:eastAsia="zh-CN"/>
        </w:rPr>
        <w:t>表10 废水污染物排放执行标准</w:t>
      </w:r>
    </w:p>
    <w:tbl>
      <w:tblPr>
        <w:tblStyle w:val="31"/>
        <w:tblW w:w="581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76"/>
        <w:gridCol w:w="1091"/>
        <w:gridCol w:w="1407"/>
        <w:gridCol w:w="874"/>
        <w:gridCol w:w="1921"/>
        <w:gridCol w:w="2019"/>
        <w:gridCol w:w="1909"/>
        <w:gridCol w:w="1911"/>
      </w:tblGrid>
      <w:tr w14:paraId="45D41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296" w:type="pct"/>
            <w:vAlign w:val="center"/>
          </w:tcPr>
          <w:p w14:paraId="43F4181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排放口类型</w:t>
            </w:r>
          </w:p>
        </w:tc>
        <w:tc>
          <w:tcPr>
            <w:tcW w:w="310" w:type="pct"/>
            <w:vAlign w:val="center"/>
          </w:tcPr>
          <w:p w14:paraId="593A4E9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排放口编号</w:t>
            </w:r>
          </w:p>
        </w:tc>
        <w:tc>
          <w:tcPr>
            <w:tcW w:w="620" w:type="pct"/>
            <w:vAlign w:val="center"/>
          </w:tcPr>
          <w:p w14:paraId="6F97857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监测点位</w:t>
            </w:r>
          </w:p>
        </w:tc>
        <w:tc>
          <w:tcPr>
            <w:tcW w:w="396" w:type="pct"/>
            <w:vAlign w:val="center"/>
          </w:tcPr>
          <w:p w14:paraId="2A2788B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序号</w:t>
            </w:r>
          </w:p>
        </w:tc>
        <w:tc>
          <w:tcPr>
            <w:tcW w:w="835" w:type="pct"/>
            <w:vAlign w:val="center"/>
          </w:tcPr>
          <w:p w14:paraId="571B3BC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监测项目</w:t>
            </w:r>
          </w:p>
        </w:tc>
        <w:tc>
          <w:tcPr>
            <w:tcW w:w="876" w:type="pct"/>
            <w:vAlign w:val="center"/>
          </w:tcPr>
          <w:p w14:paraId="1B538A5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标准限值</w:t>
            </w:r>
          </w:p>
          <w:p w14:paraId="3BE8357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(mg/L)</w:t>
            </w:r>
          </w:p>
        </w:tc>
        <w:tc>
          <w:tcPr>
            <w:tcW w:w="830" w:type="pct"/>
            <w:vAlign w:val="center"/>
          </w:tcPr>
          <w:p w14:paraId="1556A96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最高允许排放负荷/[(床位·d)]</w:t>
            </w:r>
          </w:p>
        </w:tc>
        <w:tc>
          <w:tcPr>
            <w:tcW w:w="831" w:type="pct"/>
            <w:vAlign w:val="center"/>
          </w:tcPr>
          <w:p w14:paraId="2DAFED6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执行标准</w:t>
            </w:r>
          </w:p>
        </w:tc>
      </w:tr>
      <w:tr w14:paraId="1319E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296" w:type="pct"/>
            <w:vMerge w:val="restart"/>
            <w:vAlign w:val="center"/>
          </w:tcPr>
          <w:p w14:paraId="7EB7D02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主要排放口</w:t>
            </w:r>
          </w:p>
        </w:tc>
        <w:tc>
          <w:tcPr>
            <w:tcW w:w="310" w:type="pct"/>
            <w:vMerge w:val="restart"/>
            <w:vAlign w:val="center"/>
          </w:tcPr>
          <w:p w14:paraId="5C5EB64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DW001</w:t>
            </w:r>
          </w:p>
        </w:tc>
        <w:tc>
          <w:tcPr>
            <w:tcW w:w="620" w:type="pct"/>
            <w:vMerge w:val="restart"/>
            <w:vAlign w:val="center"/>
          </w:tcPr>
          <w:p w14:paraId="38F87E6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污水总排放口</w:t>
            </w:r>
          </w:p>
        </w:tc>
        <w:tc>
          <w:tcPr>
            <w:tcW w:w="396" w:type="pct"/>
            <w:vAlign w:val="center"/>
          </w:tcPr>
          <w:p w14:paraId="2E5E963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1</w:t>
            </w:r>
          </w:p>
        </w:tc>
        <w:tc>
          <w:tcPr>
            <w:tcW w:w="835" w:type="pct"/>
            <w:vAlign w:val="center"/>
          </w:tcPr>
          <w:p w14:paraId="3CBB7BA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PH</w:t>
            </w:r>
          </w:p>
        </w:tc>
        <w:tc>
          <w:tcPr>
            <w:tcW w:w="876" w:type="pct"/>
            <w:vAlign w:val="center"/>
          </w:tcPr>
          <w:p w14:paraId="5E17C75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6-9（无量纲）</w:t>
            </w:r>
          </w:p>
        </w:tc>
        <w:tc>
          <w:tcPr>
            <w:tcW w:w="830" w:type="pct"/>
            <w:vAlign w:val="center"/>
          </w:tcPr>
          <w:p w14:paraId="632F1F0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w:t>
            </w:r>
          </w:p>
        </w:tc>
        <w:tc>
          <w:tcPr>
            <w:tcW w:w="831" w:type="pct"/>
            <w:vMerge w:val="restart"/>
            <w:vAlign w:val="center"/>
          </w:tcPr>
          <w:p w14:paraId="2572AFE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医疗机构水污染排放标准(GB 18466-2005)表二预处理标准</w:t>
            </w:r>
          </w:p>
        </w:tc>
      </w:tr>
      <w:tr w14:paraId="56D0E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jc w:val="center"/>
        </w:trPr>
        <w:tc>
          <w:tcPr>
            <w:tcW w:w="296" w:type="pct"/>
            <w:vMerge w:val="continue"/>
            <w:vAlign w:val="center"/>
          </w:tcPr>
          <w:p w14:paraId="7539A55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10" w:type="pct"/>
            <w:vMerge w:val="continue"/>
            <w:vAlign w:val="center"/>
          </w:tcPr>
          <w:p w14:paraId="6B2013A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620" w:type="pct"/>
            <w:vMerge w:val="continue"/>
            <w:vAlign w:val="center"/>
          </w:tcPr>
          <w:p w14:paraId="4DBC7F6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96" w:type="pct"/>
            <w:vAlign w:val="center"/>
          </w:tcPr>
          <w:p w14:paraId="14A0054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2</w:t>
            </w:r>
          </w:p>
        </w:tc>
        <w:tc>
          <w:tcPr>
            <w:tcW w:w="835" w:type="pct"/>
            <w:vAlign w:val="center"/>
          </w:tcPr>
          <w:p w14:paraId="1875D09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化学需氧量</w:t>
            </w:r>
          </w:p>
        </w:tc>
        <w:tc>
          <w:tcPr>
            <w:tcW w:w="876" w:type="pct"/>
            <w:vAlign w:val="center"/>
          </w:tcPr>
          <w:p w14:paraId="09C11B0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250</w:t>
            </w:r>
          </w:p>
        </w:tc>
        <w:tc>
          <w:tcPr>
            <w:tcW w:w="830" w:type="pct"/>
            <w:vAlign w:val="center"/>
          </w:tcPr>
          <w:p w14:paraId="792AEC9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250</w:t>
            </w:r>
          </w:p>
        </w:tc>
        <w:tc>
          <w:tcPr>
            <w:tcW w:w="831" w:type="pct"/>
            <w:vMerge w:val="continue"/>
            <w:vAlign w:val="center"/>
          </w:tcPr>
          <w:p w14:paraId="39CA1FD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r>
      <w:tr w14:paraId="700F5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 w:hRule="atLeast"/>
          <w:jc w:val="center"/>
        </w:trPr>
        <w:tc>
          <w:tcPr>
            <w:tcW w:w="296" w:type="pct"/>
            <w:vMerge w:val="continue"/>
            <w:vAlign w:val="center"/>
          </w:tcPr>
          <w:p w14:paraId="3C20AC4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10" w:type="pct"/>
            <w:vMerge w:val="continue"/>
            <w:vAlign w:val="center"/>
          </w:tcPr>
          <w:p w14:paraId="7690EE6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620" w:type="pct"/>
            <w:vMerge w:val="continue"/>
            <w:vAlign w:val="center"/>
          </w:tcPr>
          <w:p w14:paraId="6D84229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96" w:type="pct"/>
            <w:vAlign w:val="center"/>
          </w:tcPr>
          <w:p w14:paraId="284CD84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3</w:t>
            </w:r>
          </w:p>
        </w:tc>
        <w:tc>
          <w:tcPr>
            <w:tcW w:w="835" w:type="pct"/>
            <w:vAlign w:val="center"/>
          </w:tcPr>
          <w:p w14:paraId="71BBD01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悬浮物</w:t>
            </w:r>
          </w:p>
        </w:tc>
        <w:tc>
          <w:tcPr>
            <w:tcW w:w="876" w:type="pct"/>
            <w:vAlign w:val="center"/>
          </w:tcPr>
          <w:p w14:paraId="73C6421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60</w:t>
            </w:r>
          </w:p>
        </w:tc>
        <w:tc>
          <w:tcPr>
            <w:tcW w:w="830" w:type="pct"/>
            <w:vAlign w:val="center"/>
          </w:tcPr>
          <w:p w14:paraId="0B88585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60</w:t>
            </w:r>
          </w:p>
        </w:tc>
        <w:tc>
          <w:tcPr>
            <w:tcW w:w="831" w:type="pct"/>
            <w:vMerge w:val="continue"/>
            <w:vAlign w:val="center"/>
          </w:tcPr>
          <w:p w14:paraId="07492E8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r>
      <w:tr w14:paraId="2B518D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 w:hRule="atLeast"/>
          <w:jc w:val="center"/>
        </w:trPr>
        <w:tc>
          <w:tcPr>
            <w:tcW w:w="296" w:type="pct"/>
            <w:vMerge w:val="continue"/>
            <w:vAlign w:val="center"/>
          </w:tcPr>
          <w:p w14:paraId="1A60859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10" w:type="pct"/>
            <w:vMerge w:val="continue"/>
            <w:vAlign w:val="center"/>
          </w:tcPr>
          <w:p w14:paraId="01E046B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620" w:type="pct"/>
            <w:vMerge w:val="continue"/>
            <w:vAlign w:val="center"/>
          </w:tcPr>
          <w:p w14:paraId="2DC4435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96" w:type="pct"/>
            <w:vAlign w:val="center"/>
          </w:tcPr>
          <w:p w14:paraId="4551819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4</w:t>
            </w:r>
          </w:p>
        </w:tc>
        <w:tc>
          <w:tcPr>
            <w:tcW w:w="835" w:type="pct"/>
            <w:vAlign w:val="center"/>
          </w:tcPr>
          <w:p w14:paraId="2DC46FE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粪大肠菌群</w:t>
            </w:r>
          </w:p>
        </w:tc>
        <w:tc>
          <w:tcPr>
            <w:tcW w:w="876" w:type="pct"/>
            <w:vAlign w:val="center"/>
          </w:tcPr>
          <w:p w14:paraId="72D8EC0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5000（MPN/L）</w:t>
            </w:r>
          </w:p>
        </w:tc>
        <w:tc>
          <w:tcPr>
            <w:tcW w:w="830" w:type="pct"/>
            <w:vAlign w:val="center"/>
          </w:tcPr>
          <w:p w14:paraId="2F3DC15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w:t>
            </w:r>
          </w:p>
        </w:tc>
        <w:tc>
          <w:tcPr>
            <w:tcW w:w="831" w:type="pct"/>
            <w:vMerge w:val="continue"/>
            <w:vAlign w:val="center"/>
          </w:tcPr>
          <w:p w14:paraId="6E9E103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r>
      <w:tr w14:paraId="79339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 w:hRule="atLeast"/>
          <w:jc w:val="center"/>
        </w:trPr>
        <w:tc>
          <w:tcPr>
            <w:tcW w:w="296" w:type="pct"/>
            <w:vMerge w:val="continue"/>
            <w:vAlign w:val="center"/>
          </w:tcPr>
          <w:p w14:paraId="19F1659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10" w:type="pct"/>
            <w:vMerge w:val="continue"/>
            <w:vAlign w:val="center"/>
          </w:tcPr>
          <w:p w14:paraId="27FB1BF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620" w:type="pct"/>
            <w:vMerge w:val="continue"/>
            <w:vAlign w:val="center"/>
          </w:tcPr>
          <w:p w14:paraId="35EEAF4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96" w:type="pct"/>
            <w:vAlign w:val="center"/>
          </w:tcPr>
          <w:p w14:paraId="61E5267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5</w:t>
            </w:r>
          </w:p>
        </w:tc>
        <w:tc>
          <w:tcPr>
            <w:tcW w:w="835" w:type="pct"/>
            <w:vAlign w:val="center"/>
          </w:tcPr>
          <w:p w14:paraId="47BC739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总氰化物</w:t>
            </w:r>
          </w:p>
        </w:tc>
        <w:tc>
          <w:tcPr>
            <w:tcW w:w="876" w:type="pct"/>
            <w:vAlign w:val="center"/>
          </w:tcPr>
          <w:p w14:paraId="275E5A3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0.5</w:t>
            </w:r>
          </w:p>
        </w:tc>
        <w:tc>
          <w:tcPr>
            <w:tcW w:w="830" w:type="pct"/>
            <w:vAlign w:val="center"/>
          </w:tcPr>
          <w:p w14:paraId="2929A93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w:t>
            </w:r>
          </w:p>
        </w:tc>
        <w:tc>
          <w:tcPr>
            <w:tcW w:w="831" w:type="pct"/>
            <w:vMerge w:val="continue"/>
            <w:vAlign w:val="center"/>
          </w:tcPr>
          <w:p w14:paraId="3A0380D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r>
      <w:tr w14:paraId="304A0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 w:hRule="atLeast"/>
          <w:jc w:val="center"/>
        </w:trPr>
        <w:tc>
          <w:tcPr>
            <w:tcW w:w="296" w:type="pct"/>
            <w:vMerge w:val="continue"/>
            <w:vAlign w:val="center"/>
          </w:tcPr>
          <w:p w14:paraId="09DD3ED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10" w:type="pct"/>
            <w:vMerge w:val="continue"/>
            <w:vAlign w:val="center"/>
          </w:tcPr>
          <w:p w14:paraId="74D92C5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620" w:type="pct"/>
            <w:vMerge w:val="continue"/>
            <w:vAlign w:val="center"/>
          </w:tcPr>
          <w:p w14:paraId="3B1D42D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96" w:type="pct"/>
            <w:vAlign w:val="center"/>
          </w:tcPr>
          <w:p w14:paraId="7D1EB63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6</w:t>
            </w:r>
          </w:p>
        </w:tc>
        <w:tc>
          <w:tcPr>
            <w:tcW w:w="835" w:type="pct"/>
            <w:vAlign w:val="center"/>
          </w:tcPr>
          <w:p w14:paraId="38D22BA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五日生化需氧量</w:t>
            </w:r>
          </w:p>
        </w:tc>
        <w:tc>
          <w:tcPr>
            <w:tcW w:w="876" w:type="pct"/>
            <w:vAlign w:val="center"/>
          </w:tcPr>
          <w:p w14:paraId="4D9FB50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100</w:t>
            </w:r>
          </w:p>
        </w:tc>
        <w:tc>
          <w:tcPr>
            <w:tcW w:w="830" w:type="pct"/>
            <w:vAlign w:val="center"/>
          </w:tcPr>
          <w:p w14:paraId="4F52715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100</w:t>
            </w:r>
          </w:p>
        </w:tc>
        <w:tc>
          <w:tcPr>
            <w:tcW w:w="831" w:type="pct"/>
            <w:vMerge w:val="continue"/>
            <w:vAlign w:val="center"/>
          </w:tcPr>
          <w:p w14:paraId="1C101A0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r>
      <w:tr w14:paraId="2899C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jc w:val="center"/>
        </w:trPr>
        <w:tc>
          <w:tcPr>
            <w:tcW w:w="296" w:type="pct"/>
            <w:vMerge w:val="continue"/>
            <w:vAlign w:val="center"/>
          </w:tcPr>
          <w:p w14:paraId="53B1083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10" w:type="pct"/>
            <w:vMerge w:val="continue"/>
            <w:vAlign w:val="center"/>
          </w:tcPr>
          <w:p w14:paraId="14C997A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620" w:type="pct"/>
            <w:vMerge w:val="continue"/>
            <w:vAlign w:val="center"/>
          </w:tcPr>
          <w:p w14:paraId="0B65D95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96" w:type="pct"/>
            <w:vAlign w:val="center"/>
          </w:tcPr>
          <w:p w14:paraId="06D3C13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7</w:t>
            </w:r>
          </w:p>
        </w:tc>
        <w:tc>
          <w:tcPr>
            <w:tcW w:w="835" w:type="pct"/>
            <w:vAlign w:val="center"/>
          </w:tcPr>
          <w:p w14:paraId="3BEBFD3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石油类</w:t>
            </w:r>
          </w:p>
        </w:tc>
        <w:tc>
          <w:tcPr>
            <w:tcW w:w="876" w:type="pct"/>
            <w:vAlign w:val="center"/>
          </w:tcPr>
          <w:p w14:paraId="70069EA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20</w:t>
            </w:r>
          </w:p>
        </w:tc>
        <w:tc>
          <w:tcPr>
            <w:tcW w:w="830" w:type="pct"/>
            <w:vAlign w:val="center"/>
          </w:tcPr>
          <w:p w14:paraId="30FF11D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w:t>
            </w:r>
          </w:p>
        </w:tc>
        <w:tc>
          <w:tcPr>
            <w:tcW w:w="831" w:type="pct"/>
            <w:vMerge w:val="continue"/>
            <w:vAlign w:val="center"/>
          </w:tcPr>
          <w:p w14:paraId="2B28362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r>
      <w:tr w14:paraId="6196C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 w:hRule="atLeast"/>
          <w:jc w:val="center"/>
        </w:trPr>
        <w:tc>
          <w:tcPr>
            <w:tcW w:w="296" w:type="pct"/>
            <w:vMerge w:val="continue"/>
            <w:vAlign w:val="center"/>
          </w:tcPr>
          <w:p w14:paraId="2E8D34B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10" w:type="pct"/>
            <w:vMerge w:val="continue"/>
            <w:vAlign w:val="center"/>
          </w:tcPr>
          <w:p w14:paraId="5B6D28C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620" w:type="pct"/>
            <w:vMerge w:val="continue"/>
            <w:vAlign w:val="center"/>
          </w:tcPr>
          <w:p w14:paraId="5DF0661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96" w:type="pct"/>
            <w:vAlign w:val="center"/>
          </w:tcPr>
          <w:p w14:paraId="39A24E1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8</w:t>
            </w:r>
          </w:p>
        </w:tc>
        <w:tc>
          <w:tcPr>
            <w:tcW w:w="835" w:type="pct"/>
            <w:vAlign w:val="center"/>
          </w:tcPr>
          <w:p w14:paraId="6B0E489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动植物油</w:t>
            </w:r>
          </w:p>
        </w:tc>
        <w:tc>
          <w:tcPr>
            <w:tcW w:w="876" w:type="pct"/>
            <w:vAlign w:val="center"/>
          </w:tcPr>
          <w:p w14:paraId="3E06FCE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20</w:t>
            </w:r>
          </w:p>
        </w:tc>
        <w:tc>
          <w:tcPr>
            <w:tcW w:w="830" w:type="pct"/>
            <w:vAlign w:val="center"/>
          </w:tcPr>
          <w:p w14:paraId="5773CF7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w:t>
            </w:r>
          </w:p>
        </w:tc>
        <w:tc>
          <w:tcPr>
            <w:tcW w:w="831" w:type="pct"/>
            <w:vMerge w:val="continue"/>
            <w:vAlign w:val="center"/>
          </w:tcPr>
          <w:p w14:paraId="3825A62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r>
      <w:tr w14:paraId="75D7B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 w:hRule="atLeast"/>
          <w:jc w:val="center"/>
        </w:trPr>
        <w:tc>
          <w:tcPr>
            <w:tcW w:w="296" w:type="pct"/>
            <w:vMerge w:val="continue"/>
            <w:vAlign w:val="center"/>
          </w:tcPr>
          <w:p w14:paraId="62EAFBC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10" w:type="pct"/>
            <w:vMerge w:val="continue"/>
            <w:vAlign w:val="center"/>
          </w:tcPr>
          <w:p w14:paraId="0F717BD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620" w:type="pct"/>
            <w:vMerge w:val="continue"/>
            <w:vAlign w:val="center"/>
          </w:tcPr>
          <w:p w14:paraId="19EE933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96" w:type="pct"/>
            <w:vAlign w:val="center"/>
          </w:tcPr>
          <w:p w14:paraId="729E1FF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9</w:t>
            </w:r>
          </w:p>
        </w:tc>
        <w:tc>
          <w:tcPr>
            <w:tcW w:w="835" w:type="pct"/>
            <w:vAlign w:val="center"/>
          </w:tcPr>
          <w:p w14:paraId="7C28FC7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挥发酚</w:t>
            </w:r>
          </w:p>
        </w:tc>
        <w:tc>
          <w:tcPr>
            <w:tcW w:w="876" w:type="pct"/>
            <w:vAlign w:val="center"/>
          </w:tcPr>
          <w:p w14:paraId="7C41B61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1.0</w:t>
            </w:r>
          </w:p>
        </w:tc>
        <w:tc>
          <w:tcPr>
            <w:tcW w:w="830" w:type="pct"/>
            <w:vAlign w:val="center"/>
          </w:tcPr>
          <w:p w14:paraId="79FAA63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w:t>
            </w:r>
          </w:p>
        </w:tc>
        <w:tc>
          <w:tcPr>
            <w:tcW w:w="831" w:type="pct"/>
            <w:vMerge w:val="continue"/>
            <w:vAlign w:val="center"/>
          </w:tcPr>
          <w:p w14:paraId="7A1EE2B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r>
      <w:tr w14:paraId="4C080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jc w:val="center"/>
        </w:trPr>
        <w:tc>
          <w:tcPr>
            <w:tcW w:w="296" w:type="pct"/>
            <w:vMerge w:val="continue"/>
            <w:vAlign w:val="center"/>
          </w:tcPr>
          <w:p w14:paraId="7AB94C5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10" w:type="pct"/>
            <w:vMerge w:val="continue"/>
            <w:vAlign w:val="center"/>
          </w:tcPr>
          <w:p w14:paraId="297402E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620" w:type="pct"/>
            <w:vMerge w:val="continue"/>
            <w:vAlign w:val="center"/>
          </w:tcPr>
          <w:p w14:paraId="39B097E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96" w:type="pct"/>
            <w:vAlign w:val="center"/>
          </w:tcPr>
          <w:p w14:paraId="2F7AE54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10</w:t>
            </w:r>
          </w:p>
        </w:tc>
        <w:tc>
          <w:tcPr>
            <w:tcW w:w="835" w:type="pct"/>
            <w:vAlign w:val="center"/>
          </w:tcPr>
          <w:p w14:paraId="0B917EA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阴离子表面活性剂</w:t>
            </w:r>
          </w:p>
        </w:tc>
        <w:tc>
          <w:tcPr>
            <w:tcW w:w="876" w:type="pct"/>
            <w:vAlign w:val="center"/>
          </w:tcPr>
          <w:p w14:paraId="1ED8DE2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10</w:t>
            </w:r>
          </w:p>
        </w:tc>
        <w:tc>
          <w:tcPr>
            <w:tcW w:w="830" w:type="pct"/>
            <w:vAlign w:val="center"/>
          </w:tcPr>
          <w:p w14:paraId="725C3D1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w:t>
            </w:r>
          </w:p>
        </w:tc>
        <w:tc>
          <w:tcPr>
            <w:tcW w:w="831" w:type="pct"/>
            <w:vMerge w:val="continue"/>
            <w:vAlign w:val="center"/>
          </w:tcPr>
          <w:p w14:paraId="7F5CAFD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r>
      <w:tr w14:paraId="384B2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jc w:val="center"/>
        </w:trPr>
        <w:tc>
          <w:tcPr>
            <w:tcW w:w="296" w:type="pct"/>
            <w:vMerge w:val="continue"/>
            <w:vAlign w:val="center"/>
          </w:tcPr>
          <w:p w14:paraId="56497FD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10" w:type="pct"/>
            <w:vMerge w:val="continue"/>
            <w:vAlign w:val="center"/>
          </w:tcPr>
          <w:p w14:paraId="564B28A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620" w:type="pct"/>
            <w:vMerge w:val="continue"/>
            <w:vAlign w:val="center"/>
          </w:tcPr>
          <w:p w14:paraId="0B92DE0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96" w:type="pct"/>
            <w:vAlign w:val="center"/>
          </w:tcPr>
          <w:p w14:paraId="5EAE4DA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11</w:t>
            </w:r>
          </w:p>
        </w:tc>
        <w:tc>
          <w:tcPr>
            <w:tcW w:w="835" w:type="pct"/>
            <w:vAlign w:val="center"/>
          </w:tcPr>
          <w:p w14:paraId="4A8A554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流量</w:t>
            </w:r>
          </w:p>
        </w:tc>
        <w:tc>
          <w:tcPr>
            <w:tcW w:w="876" w:type="pct"/>
            <w:vAlign w:val="center"/>
          </w:tcPr>
          <w:p w14:paraId="45F71E4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w:t>
            </w:r>
          </w:p>
        </w:tc>
        <w:tc>
          <w:tcPr>
            <w:tcW w:w="830" w:type="pct"/>
            <w:vAlign w:val="center"/>
          </w:tcPr>
          <w:p w14:paraId="3F1DDF4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w:t>
            </w:r>
          </w:p>
        </w:tc>
        <w:tc>
          <w:tcPr>
            <w:tcW w:w="831" w:type="pct"/>
            <w:vAlign w:val="center"/>
          </w:tcPr>
          <w:p w14:paraId="564B28F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w:t>
            </w:r>
          </w:p>
        </w:tc>
      </w:tr>
      <w:tr w14:paraId="321F3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jc w:val="center"/>
        </w:trPr>
        <w:tc>
          <w:tcPr>
            <w:tcW w:w="296" w:type="pct"/>
            <w:vMerge w:val="continue"/>
            <w:vAlign w:val="center"/>
          </w:tcPr>
          <w:p w14:paraId="6529053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10" w:type="pct"/>
            <w:vMerge w:val="continue"/>
            <w:vAlign w:val="center"/>
          </w:tcPr>
          <w:p w14:paraId="04037C1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620" w:type="pct"/>
            <w:vMerge w:val="continue"/>
            <w:vAlign w:val="center"/>
          </w:tcPr>
          <w:p w14:paraId="3A8421F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96" w:type="pct"/>
            <w:shd w:val="clear" w:color="auto" w:fill="auto"/>
            <w:vAlign w:val="center"/>
          </w:tcPr>
          <w:p w14:paraId="01A088D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12</w:t>
            </w:r>
          </w:p>
        </w:tc>
        <w:tc>
          <w:tcPr>
            <w:tcW w:w="835" w:type="pct"/>
            <w:vAlign w:val="center"/>
          </w:tcPr>
          <w:p w14:paraId="421E912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氨氮</w:t>
            </w:r>
          </w:p>
        </w:tc>
        <w:tc>
          <w:tcPr>
            <w:tcW w:w="876" w:type="pct"/>
            <w:vAlign w:val="center"/>
          </w:tcPr>
          <w:p w14:paraId="21EC7FC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w:t>
            </w:r>
          </w:p>
        </w:tc>
        <w:tc>
          <w:tcPr>
            <w:tcW w:w="830" w:type="pct"/>
            <w:vAlign w:val="center"/>
          </w:tcPr>
          <w:p w14:paraId="1EBE5DC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w:t>
            </w:r>
          </w:p>
        </w:tc>
        <w:tc>
          <w:tcPr>
            <w:tcW w:w="831" w:type="pct"/>
            <w:vMerge w:val="restart"/>
            <w:vAlign w:val="center"/>
          </w:tcPr>
          <w:p w14:paraId="6B6A0AD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医疗机构水污染排放标准(GB 18466-2005)表二预处理标准</w:t>
            </w:r>
          </w:p>
        </w:tc>
      </w:tr>
      <w:tr w14:paraId="6A0BE1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jc w:val="center"/>
        </w:trPr>
        <w:tc>
          <w:tcPr>
            <w:tcW w:w="296" w:type="pct"/>
            <w:vMerge w:val="continue"/>
            <w:vAlign w:val="center"/>
          </w:tcPr>
          <w:p w14:paraId="71FA805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10" w:type="pct"/>
            <w:vMerge w:val="continue"/>
            <w:vAlign w:val="center"/>
          </w:tcPr>
          <w:p w14:paraId="7AEEE6E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620" w:type="pct"/>
            <w:vMerge w:val="continue"/>
            <w:vAlign w:val="center"/>
          </w:tcPr>
          <w:p w14:paraId="5DC6364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96" w:type="pct"/>
            <w:shd w:val="clear" w:color="auto" w:fill="auto"/>
            <w:vAlign w:val="center"/>
          </w:tcPr>
          <w:p w14:paraId="5D7AD24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13</w:t>
            </w:r>
          </w:p>
        </w:tc>
        <w:tc>
          <w:tcPr>
            <w:tcW w:w="835" w:type="pct"/>
            <w:vAlign w:val="center"/>
          </w:tcPr>
          <w:p w14:paraId="2805EFE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总磷</w:t>
            </w:r>
          </w:p>
        </w:tc>
        <w:tc>
          <w:tcPr>
            <w:tcW w:w="876" w:type="pct"/>
            <w:vAlign w:val="center"/>
          </w:tcPr>
          <w:p w14:paraId="5683E9E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w:t>
            </w:r>
          </w:p>
        </w:tc>
        <w:tc>
          <w:tcPr>
            <w:tcW w:w="830" w:type="pct"/>
            <w:vAlign w:val="center"/>
          </w:tcPr>
          <w:p w14:paraId="71C5845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w:t>
            </w:r>
          </w:p>
        </w:tc>
        <w:tc>
          <w:tcPr>
            <w:tcW w:w="831" w:type="pct"/>
            <w:vMerge w:val="continue"/>
            <w:vAlign w:val="center"/>
          </w:tcPr>
          <w:p w14:paraId="089CFC3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r>
      <w:tr w14:paraId="4E13F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jc w:val="center"/>
        </w:trPr>
        <w:tc>
          <w:tcPr>
            <w:tcW w:w="296" w:type="pct"/>
            <w:vMerge w:val="continue"/>
            <w:vAlign w:val="center"/>
          </w:tcPr>
          <w:p w14:paraId="0B221F8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10" w:type="pct"/>
            <w:vMerge w:val="continue"/>
            <w:vAlign w:val="center"/>
          </w:tcPr>
          <w:p w14:paraId="1A94501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620" w:type="pct"/>
            <w:vMerge w:val="continue"/>
            <w:vAlign w:val="center"/>
          </w:tcPr>
          <w:p w14:paraId="3733041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96" w:type="pct"/>
            <w:vAlign w:val="center"/>
          </w:tcPr>
          <w:p w14:paraId="2658E63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14</w:t>
            </w:r>
          </w:p>
        </w:tc>
        <w:tc>
          <w:tcPr>
            <w:tcW w:w="835" w:type="pct"/>
            <w:vAlign w:val="center"/>
          </w:tcPr>
          <w:p w14:paraId="65914E8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总氮</w:t>
            </w:r>
          </w:p>
        </w:tc>
        <w:tc>
          <w:tcPr>
            <w:tcW w:w="876" w:type="pct"/>
            <w:vAlign w:val="center"/>
          </w:tcPr>
          <w:p w14:paraId="501BB3A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w:t>
            </w:r>
          </w:p>
        </w:tc>
        <w:tc>
          <w:tcPr>
            <w:tcW w:w="830" w:type="pct"/>
            <w:vAlign w:val="center"/>
          </w:tcPr>
          <w:p w14:paraId="4D668CE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w:t>
            </w:r>
          </w:p>
        </w:tc>
        <w:tc>
          <w:tcPr>
            <w:tcW w:w="831" w:type="pct"/>
            <w:vMerge w:val="continue"/>
            <w:vAlign w:val="center"/>
          </w:tcPr>
          <w:p w14:paraId="4AA60C6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r>
      <w:tr w14:paraId="12BFA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jc w:val="center"/>
        </w:trPr>
        <w:tc>
          <w:tcPr>
            <w:tcW w:w="296" w:type="pct"/>
            <w:vMerge w:val="continue"/>
            <w:vAlign w:val="center"/>
          </w:tcPr>
          <w:p w14:paraId="74F36D3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10" w:type="pct"/>
            <w:vMerge w:val="continue"/>
            <w:vAlign w:val="center"/>
          </w:tcPr>
          <w:p w14:paraId="4FECC43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620" w:type="pct"/>
            <w:vAlign w:val="center"/>
          </w:tcPr>
          <w:p w14:paraId="199C54B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接触池排口</w:t>
            </w:r>
          </w:p>
        </w:tc>
        <w:tc>
          <w:tcPr>
            <w:tcW w:w="396" w:type="pct"/>
            <w:vAlign w:val="center"/>
          </w:tcPr>
          <w:p w14:paraId="7F98543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15</w:t>
            </w:r>
          </w:p>
        </w:tc>
        <w:tc>
          <w:tcPr>
            <w:tcW w:w="835" w:type="pct"/>
            <w:vAlign w:val="center"/>
          </w:tcPr>
          <w:p w14:paraId="5E9F58E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总余氯</w:t>
            </w:r>
          </w:p>
        </w:tc>
        <w:tc>
          <w:tcPr>
            <w:tcW w:w="876" w:type="pct"/>
            <w:vAlign w:val="center"/>
          </w:tcPr>
          <w:p w14:paraId="3782859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2-8</w:t>
            </w:r>
          </w:p>
        </w:tc>
        <w:tc>
          <w:tcPr>
            <w:tcW w:w="830" w:type="pct"/>
            <w:vAlign w:val="center"/>
          </w:tcPr>
          <w:p w14:paraId="72888BC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w:t>
            </w:r>
          </w:p>
        </w:tc>
        <w:tc>
          <w:tcPr>
            <w:tcW w:w="831" w:type="pct"/>
            <w:vMerge w:val="continue"/>
            <w:vAlign w:val="center"/>
          </w:tcPr>
          <w:p w14:paraId="4C2E743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r>
    </w:tbl>
    <w:p w14:paraId="126EF4D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仿宋" w:hAnsi="仿宋" w:eastAsia="仿宋" w:cs="仿宋"/>
          <w:b w:val="0"/>
          <w:bCs w:val="0"/>
          <w:spacing w:val="15"/>
          <w:sz w:val="24"/>
          <w:szCs w:val="24"/>
          <w:u w:val="none"/>
          <w:lang w:val="en-US" w:eastAsia="zh-CN"/>
        </w:rPr>
      </w:pPr>
    </w:p>
    <w:p w14:paraId="4E52316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仿宋" w:hAnsi="仿宋" w:eastAsia="仿宋" w:cs="仿宋"/>
          <w:b w:val="0"/>
          <w:bCs w:val="0"/>
          <w:spacing w:val="15"/>
          <w:sz w:val="24"/>
          <w:szCs w:val="24"/>
          <w:u w:val="none"/>
          <w:lang w:val="en-US" w:eastAsia="zh-CN"/>
        </w:rPr>
      </w:pPr>
    </w:p>
    <w:p w14:paraId="7F4AB76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仿宋" w:hAnsi="仿宋" w:eastAsia="仿宋" w:cs="仿宋"/>
          <w:b w:val="0"/>
          <w:bCs w:val="0"/>
          <w:spacing w:val="15"/>
          <w:sz w:val="24"/>
          <w:szCs w:val="24"/>
          <w:u w:val="none"/>
          <w:lang w:val="en-US" w:eastAsia="en-US"/>
        </w:rPr>
      </w:pPr>
      <w:r>
        <w:rPr>
          <w:rFonts w:hint="eastAsia" w:ascii="仿宋" w:hAnsi="仿宋" w:eastAsia="仿宋" w:cs="仿宋"/>
          <w:b w:val="0"/>
          <w:bCs w:val="0"/>
          <w:spacing w:val="15"/>
          <w:sz w:val="24"/>
          <w:szCs w:val="24"/>
          <w:u w:val="none"/>
          <w:lang w:val="en-US" w:eastAsia="zh-CN"/>
        </w:rPr>
        <w:t>3</w:t>
      </w:r>
      <w:r>
        <w:rPr>
          <w:rFonts w:hint="eastAsia" w:ascii="仿宋" w:hAnsi="仿宋" w:eastAsia="仿宋" w:cs="仿宋"/>
          <w:b w:val="0"/>
          <w:bCs w:val="0"/>
          <w:spacing w:val="15"/>
          <w:sz w:val="24"/>
          <w:szCs w:val="24"/>
          <w:u w:val="none"/>
          <w:lang w:val="en-US" w:eastAsia="en-US"/>
        </w:rPr>
        <w:t>、废水污染物监测方法及依据情况如下表所示</w:t>
      </w:r>
      <w:r>
        <w:rPr>
          <w:rFonts w:hint="eastAsia" w:ascii="仿宋" w:hAnsi="仿宋" w:eastAsia="仿宋" w:cs="仿宋"/>
          <w:b w:val="0"/>
          <w:bCs w:val="0"/>
          <w:spacing w:val="15"/>
          <w:sz w:val="24"/>
          <w:szCs w:val="24"/>
          <w:u w:val="none"/>
          <w:lang w:val="en-US" w:eastAsia="zh-CN"/>
        </w:rPr>
        <w:t>11</w:t>
      </w:r>
      <w:r>
        <w:rPr>
          <w:rFonts w:hint="eastAsia" w:ascii="仿宋" w:hAnsi="仿宋" w:eastAsia="仿宋" w:cs="仿宋"/>
          <w:b w:val="0"/>
          <w:bCs w:val="0"/>
          <w:spacing w:val="15"/>
          <w:sz w:val="24"/>
          <w:szCs w:val="24"/>
          <w:u w:val="none"/>
          <w:lang w:val="en-US" w:eastAsia="en-US"/>
        </w:rPr>
        <w:t>。</w:t>
      </w:r>
    </w:p>
    <w:p w14:paraId="5CB1591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仿宋" w:hAnsi="仿宋" w:eastAsia="仿宋" w:cs="仿宋"/>
          <w:b w:val="0"/>
          <w:bCs w:val="0"/>
          <w:snapToGrid w:val="0"/>
          <w:color w:val="000000"/>
          <w:spacing w:val="0"/>
          <w:kern w:val="0"/>
          <w:position w:val="0"/>
          <w:sz w:val="24"/>
          <w:szCs w:val="24"/>
          <w:u w:val="none"/>
          <w:lang w:val="en-US" w:eastAsia="zh-CN" w:bidi="ar-SA"/>
        </w:rPr>
      </w:pPr>
      <w:r>
        <w:rPr>
          <w:rFonts w:hint="eastAsia" w:ascii="仿宋" w:hAnsi="仿宋" w:eastAsia="仿宋" w:cs="仿宋"/>
          <w:b w:val="0"/>
          <w:bCs w:val="0"/>
          <w:snapToGrid w:val="0"/>
          <w:color w:val="000000"/>
          <w:spacing w:val="0"/>
          <w:kern w:val="0"/>
          <w:position w:val="0"/>
          <w:sz w:val="24"/>
          <w:szCs w:val="24"/>
          <w:u w:val="none"/>
          <w:lang w:val="en-US" w:eastAsia="zh-CN" w:bidi="ar-SA"/>
        </w:rPr>
        <w:t>表11 废水污染源监测方法及依据一览表</w:t>
      </w:r>
    </w:p>
    <w:p w14:paraId="510FABBA">
      <w:pPr>
        <w:spacing w:line="30" w:lineRule="exact"/>
        <w:rPr>
          <w:rFonts w:hint="eastAsia" w:ascii="仿宋" w:hAnsi="仿宋" w:eastAsia="仿宋" w:cs="仿宋"/>
          <w:b w:val="0"/>
          <w:bCs w:val="0"/>
          <w:u w:val="none"/>
        </w:rPr>
      </w:pPr>
    </w:p>
    <w:tbl>
      <w:tblPr>
        <w:tblStyle w:val="31"/>
        <w:tblW w:w="966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0"/>
        <w:gridCol w:w="1224"/>
        <w:gridCol w:w="6441"/>
        <w:gridCol w:w="1568"/>
      </w:tblGrid>
      <w:tr w14:paraId="1B57A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jc w:val="center"/>
        </w:trPr>
        <w:tc>
          <w:tcPr>
            <w:tcW w:w="430" w:type="dxa"/>
            <w:vAlign w:val="center"/>
          </w:tcPr>
          <w:p w14:paraId="4387B88B">
            <w:pPr>
              <w:spacing w:before="80" w:line="291" w:lineRule="exact"/>
              <w:ind w:left="0" w:leftChars="0" w:right="0" w:rightChars="0" w:firstLine="0" w:firstLineChars="0"/>
              <w:jc w:val="center"/>
              <w:textAlignment w:val="center"/>
              <w:rPr>
                <w:rFonts w:hint="eastAsia" w:ascii="仿宋" w:hAnsi="仿宋" w:eastAsia="仿宋" w:cs="仿宋"/>
                <w:b w:val="0"/>
                <w:bCs w:val="0"/>
                <w:spacing w:val="10"/>
                <w:sz w:val="21"/>
                <w:szCs w:val="21"/>
                <w:u w:val="none"/>
                <w14:textOutline w14:w="4356" w14:cap="sq" w14:cmpd="sng" w14:algn="ctr">
                  <w14:solidFill>
                    <w14:srgbClr w14:val="000000"/>
                  </w14:solidFill>
                  <w14:prstDash w14:val="solid"/>
                  <w14:bevel/>
                </w14:textOutline>
              </w:rPr>
            </w:pPr>
            <w:r>
              <w:rPr>
                <w:rFonts w:hint="eastAsia" w:ascii="仿宋" w:hAnsi="仿宋" w:eastAsia="仿宋" w:cs="仿宋"/>
                <w:b w:val="0"/>
                <w:bCs w:val="0"/>
                <w:spacing w:val="10"/>
                <w:sz w:val="21"/>
                <w:szCs w:val="21"/>
                <w:u w:val="none"/>
                <w14:textOutline w14:w="4356" w14:cap="sq" w14:cmpd="sng" w14:algn="ctr">
                  <w14:solidFill>
                    <w14:srgbClr w14:val="000000"/>
                  </w14:solidFill>
                  <w14:prstDash w14:val="solid"/>
                  <w14:bevel/>
                </w14:textOutline>
              </w:rPr>
              <w:t>序号</w:t>
            </w:r>
          </w:p>
        </w:tc>
        <w:tc>
          <w:tcPr>
            <w:tcW w:w="1224" w:type="dxa"/>
            <w:vAlign w:val="center"/>
          </w:tcPr>
          <w:p w14:paraId="72672CEC">
            <w:pPr>
              <w:spacing w:before="80" w:line="291" w:lineRule="exact"/>
              <w:ind w:left="0" w:leftChars="0" w:right="0" w:rightChars="0" w:firstLine="0" w:firstLineChars="0"/>
              <w:jc w:val="center"/>
              <w:textAlignment w:val="center"/>
              <w:rPr>
                <w:rFonts w:hint="eastAsia" w:ascii="仿宋" w:hAnsi="仿宋" w:eastAsia="仿宋" w:cs="仿宋"/>
                <w:b w:val="0"/>
                <w:bCs w:val="0"/>
                <w:spacing w:val="10"/>
                <w:sz w:val="21"/>
                <w:szCs w:val="21"/>
                <w:u w:val="none"/>
                <w14:textOutline w14:w="4356" w14:cap="sq" w14:cmpd="sng" w14:algn="ctr">
                  <w14:solidFill>
                    <w14:srgbClr w14:val="000000"/>
                  </w14:solidFill>
                  <w14:prstDash w14:val="solid"/>
                  <w14:bevel/>
                </w14:textOutline>
              </w:rPr>
            </w:pPr>
            <w:r>
              <w:rPr>
                <w:rFonts w:hint="eastAsia" w:ascii="仿宋" w:hAnsi="仿宋" w:eastAsia="仿宋" w:cs="仿宋"/>
                <w:b w:val="0"/>
                <w:bCs w:val="0"/>
                <w:spacing w:val="10"/>
                <w:sz w:val="21"/>
                <w:szCs w:val="21"/>
                <w:u w:val="none"/>
                <w14:textOutline w14:w="4356" w14:cap="sq" w14:cmpd="sng" w14:algn="ctr">
                  <w14:solidFill>
                    <w14:srgbClr w14:val="000000"/>
                  </w14:solidFill>
                  <w14:prstDash w14:val="solid"/>
                  <w14:bevel/>
                </w14:textOutline>
              </w:rPr>
              <w:t>监测项目</w:t>
            </w:r>
          </w:p>
        </w:tc>
        <w:tc>
          <w:tcPr>
            <w:tcW w:w="6441" w:type="dxa"/>
            <w:vAlign w:val="center"/>
          </w:tcPr>
          <w:p w14:paraId="76377080">
            <w:pPr>
              <w:spacing w:before="80" w:line="291" w:lineRule="exact"/>
              <w:ind w:left="0" w:leftChars="0" w:right="0" w:rightChars="0" w:firstLine="0" w:firstLineChars="0"/>
              <w:jc w:val="center"/>
              <w:textAlignment w:val="center"/>
              <w:rPr>
                <w:rFonts w:hint="eastAsia" w:ascii="仿宋" w:hAnsi="仿宋" w:eastAsia="仿宋" w:cs="仿宋"/>
                <w:b w:val="0"/>
                <w:bCs w:val="0"/>
                <w:spacing w:val="10"/>
                <w:sz w:val="21"/>
                <w:szCs w:val="21"/>
                <w:u w:val="none"/>
                <w14:textOutline w14:w="4356" w14:cap="sq" w14:cmpd="sng" w14:algn="ctr">
                  <w14:solidFill>
                    <w14:srgbClr w14:val="000000"/>
                  </w14:solidFill>
                  <w14:prstDash w14:val="solid"/>
                  <w14:bevel/>
                </w14:textOutline>
              </w:rPr>
            </w:pPr>
            <w:r>
              <w:rPr>
                <w:rFonts w:hint="eastAsia" w:ascii="仿宋" w:hAnsi="仿宋" w:eastAsia="仿宋" w:cs="仿宋"/>
                <w:b w:val="0"/>
                <w:bCs w:val="0"/>
                <w:spacing w:val="10"/>
                <w:sz w:val="21"/>
                <w:szCs w:val="21"/>
                <w:u w:val="none"/>
                <w14:textOutline w14:w="4356" w14:cap="sq" w14:cmpd="sng" w14:algn="ctr">
                  <w14:solidFill>
                    <w14:srgbClr w14:val="000000"/>
                  </w14:solidFill>
                  <w14:prstDash w14:val="solid"/>
                  <w14:bevel/>
                </w14:textOutline>
              </w:rPr>
              <w:t>监测方法及依据</w:t>
            </w:r>
          </w:p>
        </w:tc>
        <w:tc>
          <w:tcPr>
            <w:tcW w:w="1568" w:type="dxa"/>
            <w:vAlign w:val="center"/>
          </w:tcPr>
          <w:p w14:paraId="48B9EE3C">
            <w:pPr>
              <w:spacing w:before="80" w:line="291" w:lineRule="exact"/>
              <w:ind w:left="0" w:leftChars="0" w:right="0" w:rightChars="0" w:firstLine="0" w:firstLineChars="0"/>
              <w:jc w:val="center"/>
              <w:textAlignment w:val="center"/>
              <w:rPr>
                <w:rFonts w:hint="eastAsia" w:ascii="仿宋" w:hAnsi="仿宋" w:eastAsia="仿宋" w:cs="仿宋"/>
                <w:b w:val="0"/>
                <w:bCs w:val="0"/>
                <w:spacing w:val="10"/>
                <w:sz w:val="21"/>
                <w:szCs w:val="21"/>
                <w:u w:val="none"/>
                <w14:textOutline w14:w="4356" w14:cap="sq" w14:cmpd="sng" w14:algn="ctr">
                  <w14:solidFill>
                    <w14:srgbClr w14:val="000000"/>
                  </w14:solidFill>
                  <w14:prstDash w14:val="solid"/>
                  <w14:bevel/>
                </w14:textOutline>
              </w:rPr>
            </w:pPr>
            <w:r>
              <w:rPr>
                <w:rFonts w:hint="eastAsia" w:ascii="仿宋" w:hAnsi="仿宋" w:eastAsia="仿宋" w:cs="仿宋"/>
                <w:b w:val="0"/>
                <w:bCs w:val="0"/>
                <w:spacing w:val="10"/>
                <w:sz w:val="21"/>
                <w:szCs w:val="21"/>
                <w:u w:val="none"/>
                <w14:textOutline w14:w="4356" w14:cap="sq" w14:cmpd="sng" w14:algn="ctr">
                  <w14:solidFill>
                    <w14:srgbClr w14:val="000000"/>
                  </w14:solidFill>
                  <w14:prstDash w14:val="solid"/>
                  <w14:bevel/>
                </w14:textOutline>
              </w:rPr>
              <w:t>备注</w:t>
            </w:r>
          </w:p>
        </w:tc>
      </w:tr>
      <w:tr w14:paraId="35276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430" w:type="dxa"/>
            <w:vAlign w:val="center"/>
          </w:tcPr>
          <w:p w14:paraId="42381D2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1</w:t>
            </w:r>
          </w:p>
        </w:tc>
        <w:tc>
          <w:tcPr>
            <w:tcW w:w="1224" w:type="dxa"/>
            <w:vAlign w:val="center"/>
          </w:tcPr>
          <w:p w14:paraId="1C5F217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悬浮物</w:t>
            </w:r>
          </w:p>
        </w:tc>
        <w:tc>
          <w:tcPr>
            <w:tcW w:w="6441" w:type="dxa"/>
            <w:vAlign w:val="center"/>
          </w:tcPr>
          <w:p w14:paraId="0DAF1E7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《水质 悬浮物的测定 重量法》GB/T 11901- 89</w:t>
            </w:r>
          </w:p>
        </w:tc>
        <w:tc>
          <w:tcPr>
            <w:tcW w:w="1568" w:type="dxa"/>
            <w:vAlign w:val="center"/>
          </w:tcPr>
          <w:p w14:paraId="1278EF7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第三方检测</w:t>
            </w:r>
          </w:p>
        </w:tc>
      </w:tr>
      <w:tr w14:paraId="4B791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jc w:val="center"/>
        </w:trPr>
        <w:tc>
          <w:tcPr>
            <w:tcW w:w="430" w:type="dxa"/>
            <w:vAlign w:val="center"/>
          </w:tcPr>
          <w:p w14:paraId="4A5E966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2</w:t>
            </w:r>
          </w:p>
        </w:tc>
        <w:tc>
          <w:tcPr>
            <w:tcW w:w="1224" w:type="dxa"/>
            <w:vAlign w:val="center"/>
          </w:tcPr>
          <w:p w14:paraId="497C12D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粪大肠菌群</w:t>
            </w:r>
          </w:p>
        </w:tc>
        <w:tc>
          <w:tcPr>
            <w:tcW w:w="6441" w:type="dxa"/>
            <w:vAlign w:val="center"/>
          </w:tcPr>
          <w:p w14:paraId="54E1E9B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《医疗机构水污染物排放标准》GB18466-2005附录A</w:t>
            </w:r>
          </w:p>
        </w:tc>
        <w:tc>
          <w:tcPr>
            <w:tcW w:w="1568" w:type="dxa"/>
            <w:vAlign w:val="center"/>
          </w:tcPr>
          <w:p w14:paraId="4AEC003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第三方检测</w:t>
            </w:r>
          </w:p>
        </w:tc>
      </w:tr>
      <w:tr w14:paraId="18601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430" w:type="dxa"/>
            <w:vAlign w:val="center"/>
          </w:tcPr>
          <w:p w14:paraId="074FC84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3</w:t>
            </w:r>
          </w:p>
        </w:tc>
        <w:tc>
          <w:tcPr>
            <w:tcW w:w="1224" w:type="dxa"/>
            <w:vAlign w:val="center"/>
          </w:tcPr>
          <w:p w14:paraId="04F03F8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总氰化物</w:t>
            </w:r>
          </w:p>
        </w:tc>
        <w:tc>
          <w:tcPr>
            <w:tcW w:w="6441" w:type="dxa"/>
            <w:vAlign w:val="center"/>
          </w:tcPr>
          <w:p w14:paraId="1AB7816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《水质 氰化物的测定 容量法和分光光度法》HJ484-2009</w:t>
            </w:r>
          </w:p>
        </w:tc>
        <w:tc>
          <w:tcPr>
            <w:tcW w:w="1568" w:type="dxa"/>
            <w:vAlign w:val="center"/>
          </w:tcPr>
          <w:p w14:paraId="4771450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第三方检测</w:t>
            </w:r>
          </w:p>
        </w:tc>
      </w:tr>
      <w:tr w14:paraId="22C9D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jc w:val="center"/>
        </w:trPr>
        <w:tc>
          <w:tcPr>
            <w:tcW w:w="430" w:type="dxa"/>
            <w:vAlign w:val="center"/>
          </w:tcPr>
          <w:p w14:paraId="5E1DF25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4</w:t>
            </w:r>
          </w:p>
        </w:tc>
        <w:tc>
          <w:tcPr>
            <w:tcW w:w="1224" w:type="dxa"/>
            <w:vAlign w:val="center"/>
          </w:tcPr>
          <w:p w14:paraId="397E6FD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五日</w:t>
            </w:r>
          </w:p>
          <w:p w14:paraId="570971C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生化需氧量</w:t>
            </w:r>
          </w:p>
        </w:tc>
        <w:tc>
          <w:tcPr>
            <w:tcW w:w="6441" w:type="dxa"/>
            <w:vAlign w:val="center"/>
          </w:tcPr>
          <w:p w14:paraId="77A907D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《水质 五日生化需氧量(BOD5)的测定 稀释与接种法》HJ505-2009</w:t>
            </w:r>
          </w:p>
        </w:tc>
        <w:tc>
          <w:tcPr>
            <w:tcW w:w="1568" w:type="dxa"/>
            <w:vAlign w:val="center"/>
          </w:tcPr>
          <w:p w14:paraId="0F35E63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第三方检测</w:t>
            </w:r>
          </w:p>
        </w:tc>
      </w:tr>
      <w:tr w14:paraId="149239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jc w:val="center"/>
        </w:trPr>
        <w:tc>
          <w:tcPr>
            <w:tcW w:w="430" w:type="dxa"/>
            <w:vAlign w:val="center"/>
          </w:tcPr>
          <w:p w14:paraId="1D70BA6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5</w:t>
            </w:r>
          </w:p>
        </w:tc>
        <w:tc>
          <w:tcPr>
            <w:tcW w:w="1224" w:type="dxa"/>
            <w:vAlign w:val="center"/>
          </w:tcPr>
          <w:p w14:paraId="13A7494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石油类</w:t>
            </w:r>
          </w:p>
        </w:tc>
        <w:tc>
          <w:tcPr>
            <w:tcW w:w="6441" w:type="dxa"/>
            <w:vAlign w:val="center"/>
          </w:tcPr>
          <w:p w14:paraId="0CCAD67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《水质 石油类和动植物油类的测定 红外分光光度法》HJ637-2018</w:t>
            </w:r>
          </w:p>
        </w:tc>
        <w:tc>
          <w:tcPr>
            <w:tcW w:w="1568" w:type="dxa"/>
            <w:vAlign w:val="center"/>
          </w:tcPr>
          <w:p w14:paraId="7D5C4C5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第三方检测</w:t>
            </w:r>
          </w:p>
        </w:tc>
      </w:tr>
      <w:tr w14:paraId="1ED2E9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jc w:val="center"/>
        </w:trPr>
        <w:tc>
          <w:tcPr>
            <w:tcW w:w="430" w:type="dxa"/>
            <w:vAlign w:val="center"/>
          </w:tcPr>
          <w:p w14:paraId="6A71F0B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6</w:t>
            </w:r>
          </w:p>
        </w:tc>
        <w:tc>
          <w:tcPr>
            <w:tcW w:w="1224" w:type="dxa"/>
            <w:vAlign w:val="center"/>
          </w:tcPr>
          <w:p w14:paraId="6042CE1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动植物油</w:t>
            </w:r>
          </w:p>
        </w:tc>
        <w:tc>
          <w:tcPr>
            <w:tcW w:w="6441" w:type="dxa"/>
            <w:vAlign w:val="center"/>
          </w:tcPr>
          <w:p w14:paraId="44B95F6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《水质 石油类和动植物油类的测定 红外分光光度法》HJ637-2018</w:t>
            </w:r>
          </w:p>
        </w:tc>
        <w:tc>
          <w:tcPr>
            <w:tcW w:w="1568" w:type="dxa"/>
            <w:vAlign w:val="center"/>
          </w:tcPr>
          <w:p w14:paraId="0B54543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第三方检测</w:t>
            </w:r>
          </w:p>
        </w:tc>
      </w:tr>
      <w:tr w14:paraId="2D5E0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jc w:val="center"/>
        </w:trPr>
        <w:tc>
          <w:tcPr>
            <w:tcW w:w="430" w:type="dxa"/>
            <w:vAlign w:val="center"/>
          </w:tcPr>
          <w:p w14:paraId="44D6148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7</w:t>
            </w:r>
          </w:p>
        </w:tc>
        <w:tc>
          <w:tcPr>
            <w:tcW w:w="1224" w:type="dxa"/>
            <w:vAlign w:val="center"/>
          </w:tcPr>
          <w:p w14:paraId="409F583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挥发酚</w:t>
            </w:r>
          </w:p>
        </w:tc>
        <w:tc>
          <w:tcPr>
            <w:tcW w:w="6441" w:type="dxa"/>
            <w:vAlign w:val="center"/>
          </w:tcPr>
          <w:p w14:paraId="18E7C97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《水质 挥发酚的测定 4-氨基安替比林分光光度法》HJ503-2009</w:t>
            </w:r>
          </w:p>
        </w:tc>
        <w:tc>
          <w:tcPr>
            <w:tcW w:w="1568" w:type="dxa"/>
            <w:vAlign w:val="center"/>
          </w:tcPr>
          <w:p w14:paraId="301B154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第三方检测</w:t>
            </w:r>
          </w:p>
        </w:tc>
      </w:tr>
      <w:tr w14:paraId="7424A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jc w:val="center"/>
        </w:trPr>
        <w:tc>
          <w:tcPr>
            <w:tcW w:w="430" w:type="dxa"/>
            <w:vAlign w:val="center"/>
          </w:tcPr>
          <w:p w14:paraId="1588FC2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8</w:t>
            </w:r>
          </w:p>
        </w:tc>
        <w:tc>
          <w:tcPr>
            <w:tcW w:w="1224" w:type="dxa"/>
            <w:vAlign w:val="center"/>
          </w:tcPr>
          <w:p w14:paraId="09440B6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阴离子</w:t>
            </w:r>
          </w:p>
          <w:p w14:paraId="023C5B2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表面活性剂</w:t>
            </w:r>
          </w:p>
        </w:tc>
        <w:tc>
          <w:tcPr>
            <w:tcW w:w="6441" w:type="dxa"/>
            <w:vAlign w:val="center"/>
          </w:tcPr>
          <w:p w14:paraId="2FCFC23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《水质 阴离子表面活性剂的测定 亚甲蓝分光光度法》GB7494-87</w:t>
            </w:r>
          </w:p>
        </w:tc>
        <w:tc>
          <w:tcPr>
            <w:tcW w:w="1568" w:type="dxa"/>
            <w:vAlign w:val="center"/>
          </w:tcPr>
          <w:p w14:paraId="7FBF00A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第三方检测</w:t>
            </w:r>
          </w:p>
        </w:tc>
      </w:tr>
      <w:tr w14:paraId="1697C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jc w:val="center"/>
        </w:trPr>
        <w:tc>
          <w:tcPr>
            <w:tcW w:w="430" w:type="dxa"/>
            <w:vAlign w:val="center"/>
          </w:tcPr>
          <w:p w14:paraId="1B57125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val="0"/>
                <w:color w:val="FF0000"/>
                <w:spacing w:val="0"/>
                <w:kern w:val="0"/>
                <w:sz w:val="21"/>
                <w:szCs w:val="21"/>
                <w:u w:val="none"/>
                <w:lang w:val="en-US" w:eastAsia="zh-CN" w:bidi="ar-SA"/>
              </w:rPr>
              <w:t>9</w:t>
            </w:r>
          </w:p>
        </w:tc>
        <w:tc>
          <w:tcPr>
            <w:tcW w:w="1224" w:type="dxa"/>
            <w:vAlign w:val="center"/>
          </w:tcPr>
          <w:p w14:paraId="5FE5760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val="0"/>
                <w:color w:val="FF0000"/>
                <w:spacing w:val="0"/>
                <w:kern w:val="0"/>
                <w:sz w:val="21"/>
                <w:szCs w:val="21"/>
                <w:u w:val="none"/>
                <w:lang w:val="en-US" w:eastAsia="zh-CN" w:bidi="ar-SA"/>
              </w:rPr>
              <w:t>氨氮</w:t>
            </w:r>
          </w:p>
        </w:tc>
        <w:tc>
          <w:tcPr>
            <w:tcW w:w="6441" w:type="dxa"/>
            <w:vAlign w:val="center"/>
          </w:tcPr>
          <w:p w14:paraId="487D45D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val="0"/>
                <w:color w:val="FF0000"/>
                <w:spacing w:val="0"/>
                <w:kern w:val="0"/>
                <w:sz w:val="21"/>
                <w:szCs w:val="21"/>
                <w:u w:val="none"/>
                <w:lang w:val="zh-CN" w:eastAsia="zh-CN" w:bidi="ar-SA"/>
              </w:rPr>
              <w:t>水质 氨氮的测定 纳氏试剂分光光度法 HJ 535-2009</w:t>
            </w:r>
          </w:p>
        </w:tc>
        <w:tc>
          <w:tcPr>
            <w:tcW w:w="1568" w:type="dxa"/>
            <w:vAlign w:val="center"/>
          </w:tcPr>
          <w:p w14:paraId="1C6BA87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val="0"/>
                <w:color w:val="FF0000"/>
                <w:spacing w:val="0"/>
                <w:kern w:val="0"/>
                <w:sz w:val="21"/>
                <w:szCs w:val="21"/>
                <w:u w:val="none"/>
                <w:lang w:val="zh-CN" w:eastAsia="zh-CN" w:bidi="ar-SA"/>
              </w:rPr>
              <w:t>第三方检测</w:t>
            </w:r>
          </w:p>
        </w:tc>
      </w:tr>
      <w:tr w14:paraId="1B917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jc w:val="center"/>
        </w:trPr>
        <w:tc>
          <w:tcPr>
            <w:tcW w:w="430" w:type="dxa"/>
            <w:vAlign w:val="center"/>
          </w:tcPr>
          <w:p w14:paraId="4DEF383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val="0"/>
                <w:color w:val="FF0000"/>
                <w:spacing w:val="0"/>
                <w:kern w:val="0"/>
                <w:sz w:val="21"/>
                <w:szCs w:val="21"/>
                <w:u w:val="none"/>
                <w:lang w:val="en-US" w:eastAsia="zh-CN" w:bidi="ar-SA"/>
              </w:rPr>
              <w:t>10</w:t>
            </w:r>
          </w:p>
        </w:tc>
        <w:tc>
          <w:tcPr>
            <w:tcW w:w="1224" w:type="dxa"/>
            <w:vAlign w:val="center"/>
          </w:tcPr>
          <w:p w14:paraId="335B129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val="0"/>
                <w:color w:val="FF0000"/>
                <w:spacing w:val="0"/>
                <w:kern w:val="0"/>
                <w:sz w:val="21"/>
                <w:szCs w:val="21"/>
                <w:u w:val="none"/>
                <w:lang w:val="en-US" w:eastAsia="zh-CN" w:bidi="ar-SA"/>
              </w:rPr>
              <w:t>总磷</w:t>
            </w:r>
          </w:p>
        </w:tc>
        <w:tc>
          <w:tcPr>
            <w:tcW w:w="6441" w:type="dxa"/>
            <w:vAlign w:val="center"/>
          </w:tcPr>
          <w:p w14:paraId="608B336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val="0"/>
                <w:color w:val="FF0000"/>
                <w:spacing w:val="0"/>
                <w:kern w:val="0"/>
                <w:sz w:val="21"/>
                <w:szCs w:val="21"/>
                <w:u w:val="none"/>
                <w:lang w:val="zh-CN" w:eastAsia="zh-CN" w:bidi="ar-SA"/>
              </w:rPr>
              <w:t>水质 总磷的测定 钼酸铵分光光度法GB/T 11893-1989</w:t>
            </w:r>
          </w:p>
        </w:tc>
        <w:tc>
          <w:tcPr>
            <w:tcW w:w="1568" w:type="dxa"/>
            <w:vAlign w:val="center"/>
          </w:tcPr>
          <w:p w14:paraId="04124B7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val="0"/>
                <w:color w:val="FF0000"/>
                <w:spacing w:val="0"/>
                <w:kern w:val="0"/>
                <w:sz w:val="21"/>
                <w:szCs w:val="21"/>
                <w:u w:val="none"/>
                <w:lang w:val="zh-CN" w:eastAsia="zh-CN" w:bidi="ar-SA"/>
              </w:rPr>
              <w:t>第三方检测</w:t>
            </w:r>
          </w:p>
        </w:tc>
      </w:tr>
      <w:tr w14:paraId="18F42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jc w:val="center"/>
        </w:trPr>
        <w:tc>
          <w:tcPr>
            <w:tcW w:w="430" w:type="dxa"/>
            <w:vAlign w:val="center"/>
          </w:tcPr>
          <w:p w14:paraId="2FAD809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val="0"/>
                <w:color w:val="FF0000"/>
                <w:spacing w:val="0"/>
                <w:kern w:val="0"/>
                <w:sz w:val="21"/>
                <w:szCs w:val="21"/>
                <w:u w:val="none"/>
                <w:lang w:val="en-US" w:eastAsia="zh-CN" w:bidi="ar-SA"/>
              </w:rPr>
              <w:t>11</w:t>
            </w:r>
          </w:p>
        </w:tc>
        <w:tc>
          <w:tcPr>
            <w:tcW w:w="1224" w:type="dxa"/>
            <w:vAlign w:val="center"/>
          </w:tcPr>
          <w:p w14:paraId="3C4D658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val="0"/>
                <w:color w:val="FF0000"/>
                <w:spacing w:val="0"/>
                <w:kern w:val="0"/>
                <w:sz w:val="21"/>
                <w:szCs w:val="21"/>
                <w:u w:val="none"/>
                <w:lang w:val="en-US" w:eastAsia="zh-CN" w:bidi="ar-SA"/>
              </w:rPr>
              <w:t>总氮</w:t>
            </w:r>
          </w:p>
        </w:tc>
        <w:tc>
          <w:tcPr>
            <w:tcW w:w="6441" w:type="dxa"/>
            <w:vAlign w:val="center"/>
          </w:tcPr>
          <w:p w14:paraId="5DF7416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val="0"/>
                <w:color w:val="FF0000"/>
                <w:spacing w:val="0"/>
                <w:kern w:val="0"/>
                <w:sz w:val="21"/>
                <w:szCs w:val="21"/>
                <w:u w:val="none"/>
                <w:lang w:val="zh-CN" w:eastAsia="zh-CN" w:bidi="ar-SA"/>
              </w:rPr>
              <w:t>水质 总氮的测定 碱性过硫酸钾消解紫外分光光度法HJ 636-2012</w:t>
            </w:r>
          </w:p>
        </w:tc>
        <w:tc>
          <w:tcPr>
            <w:tcW w:w="1568" w:type="dxa"/>
            <w:vAlign w:val="center"/>
          </w:tcPr>
          <w:p w14:paraId="3C66C1B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val="0"/>
                <w:color w:val="FF0000"/>
                <w:spacing w:val="0"/>
                <w:kern w:val="0"/>
                <w:sz w:val="21"/>
                <w:szCs w:val="21"/>
                <w:u w:val="none"/>
                <w:lang w:val="zh-CN" w:eastAsia="zh-CN" w:bidi="ar-SA"/>
              </w:rPr>
              <w:t>第三方检测</w:t>
            </w:r>
          </w:p>
        </w:tc>
      </w:tr>
    </w:tbl>
    <w:p w14:paraId="07D5E238">
      <w:pPr>
        <w:pStyle w:val="7"/>
        <w:spacing w:line="14" w:lineRule="auto"/>
        <w:rPr>
          <w:rFonts w:hint="eastAsia" w:ascii="仿宋" w:hAnsi="仿宋" w:eastAsia="仿宋" w:cs="仿宋"/>
          <w:b w:val="0"/>
          <w:bCs w:val="0"/>
          <w:sz w:val="2"/>
          <w:u w:val="none"/>
        </w:rPr>
      </w:pPr>
    </w:p>
    <w:p w14:paraId="5BBD852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napToGrid w:val="0"/>
          <w:color w:val="000000"/>
          <w:spacing w:val="0"/>
          <w:kern w:val="0"/>
          <w:position w:val="0"/>
          <w:sz w:val="24"/>
          <w:szCs w:val="24"/>
          <w:u w:val="none"/>
          <w:lang w:val="en-US" w:eastAsia="zh-CN" w:bidi="ar-SA"/>
        </w:rPr>
      </w:pPr>
      <w:r>
        <w:rPr>
          <w:rFonts w:hint="eastAsia" w:ascii="仿宋" w:hAnsi="仿宋" w:eastAsia="仿宋" w:cs="仿宋"/>
          <w:b w:val="0"/>
          <w:bCs w:val="0"/>
          <w:snapToGrid w:val="0"/>
          <w:color w:val="000000"/>
          <w:spacing w:val="0"/>
          <w:kern w:val="0"/>
          <w:position w:val="0"/>
          <w:sz w:val="24"/>
          <w:szCs w:val="24"/>
          <w:u w:val="none"/>
          <w:lang w:val="en-US" w:eastAsia="zh-CN" w:bidi="ar-SA"/>
        </w:rPr>
        <w:t>表12 废水污染源自动监测方法及依据一览表</w:t>
      </w:r>
    </w:p>
    <w:tbl>
      <w:tblPr>
        <w:tblStyle w:val="31"/>
        <w:tblpPr w:leftFromText="180" w:rightFromText="180" w:vertAnchor="text" w:horzAnchor="page" w:tblpX="1492" w:tblpY="29"/>
        <w:tblOverlap w:val="never"/>
        <w:tblW w:w="913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4"/>
        <w:gridCol w:w="1248"/>
        <w:gridCol w:w="2135"/>
        <w:gridCol w:w="4917"/>
      </w:tblGrid>
      <w:tr w14:paraId="18471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34" w:type="dxa"/>
            <w:vAlign w:val="center"/>
          </w:tcPr>
          <w:p w14:paraId="725924CB">
            <w:pPr>
              <w:spacing w:before="80" w:line="291" w:lineRule="exact"/>
              <w:ind w:left="0" w:leftChars="0" w:firstLine="0" w:firstLineChars="0"/>
              <w:jc w:val="both"/>
              <w:textAlignment w:val="center"/>
              <w:rPr>
                <w:rFonts w:hint="eastAsia" w:ascii="仿宋" w:hAnsi="仿宋" w:eastAsia="仿宋" w:cs="仿宋"/>
                <w:b w:val="0"/>
                <w:bCs w:val="0"/>
                <w:spacing w:val="10"/>
                <w:sz w:val="21"/>
                <w:szCs w:val="21"/>
                <w:u w:val="none"/>
                <w14:textOutline w14:w="4356" w14:cap="sq" w14:cmpd="sng" w14:algn="ctr">
                  <w14:solidFill>
                    <w14:srgbClr w14:val="000000"/>
                  </w14:solidFill>
                  <w14:prstDash w14:val="solid"/>
                  <w14:bevel/>
                </w14:textOutline>
              </w:rPr>
            </w:pPr>
            <w:r>
              <w:rPr>
                <w:rFonts w:hint="eastAsia" w:ascii="仿宋" w:hAnsi="仿宋" w:eastAsia="仿宋" w:cs="仿宋"/>
                <w:b w:val="0"/>
                <w:bCs w:val="0"/>
                <w:spacing w:val="10"/>
                <w:sz w:val="21"/>
                <w:szCs w:val="21"/>
                <w:u w:val="none"/>
                <w14:textOutline w14:w="4356" w14:cap="sq" w14:cmpd="sng" w14:algn="ctr">
                  <w14:solidFill>
                    <w14:srgbClr w14:val="000000"/>
                  </w14:solidFill>
                  <w14:prstDash w14:val="solid"/>
                  <w14:bevel/>
                </w14:textOutline>
              </w:rPr>
              <w:t>序号</w:t>
            </w:r>
          </w:p>
        </w:tc>
        <w:tc>
          <w:tcPr>
            <w:tcW w:w="1248" w:type="dxa"/>
            <w:vAlign w:val="center"/>
          </w:tcPr>
          <w:p w14:paraId="378100D9">
            <w:pPr>
              <w:spacing w:before="80" w:line="291" w:lineRule="exact"/>
              <w:ind w:left="0" w:leftChars="0" w:firstLine="0" w:firstLineChars="0"/>
              <w:jc w:val="both"/>
              <w:textAlignment w:val="center"/>
              <w:rPr>
                <w:rFonts w:hint="eastAsia" w:ascii="仿宋" w:hAnsi="仿宋" w:eastAsia="仿宋" w:cs="仿宋"/>
                <w:b w:val="0"/>
                <w:bCs w:val="0"/>
                <w:spacing w:val="10"/>
                <w:sz w:val="21"/>
                <w:szCs w:val="21"/>
                <w:u w:val="none"/>
                <w14:textOutline w14:w="4356" w14:cap="sq" w14:cmpd="sng" w14:algn="ctr">
                  <w14:solidFill>
                    <w14:srgbClr w14:val="000000"/>
                  </w14:solidFill>
                  <w14:prstDash w14:val="solid"/>
                  <w14:bevel/>
                </w14:textOutline>
              </w:rPr>
            </w:pPr>
            <w:r>
              <w:rPr>
                <w:rFonts w:hint="eastAsia" w:ascii="仿宋" w:hAnsi="仿宋" w:eastAsia="仿宋" w:cs="仿宋"/>
                <w:b w:val="0"/>
                <w:bCs w:val="0"/>
                <w:spacing w:val="10"/>
                <w:sz w:val="21"/>
                <w:szCs w:val="21"/>
                <w:u w:val="none"/>
                <w14:textOutline w14:w="4356" w14:cap="sq" w14:cmpd="sng" w14:algn="ctr">
                  <w14:solidFill>
                    <w14:srgbClr w14:val="000000"/>
                  </w14:solidFill>
                  <w14:prstDash w14:val="solid"/>
                  <w14:bevel/>
                </w14:textOutline>
              </w:rPr>
              <w:t>监测项目</w:t>
            </w:r>
          </w:p>
        </w:tc>
        <w:tc>
          <w:tcPr>
            <w:tcW w:w="2135" w:type="dxa"/>
            <w:vAlign w:val="center"/>
          </w:tcPr>
          <w:p w14:paraId="410508E2">
            <w:pPr>
              <w:spacing w:before="80" w:line="291" w:lineRule="exact"/>
              <w:ind w:left="0" w:leftChars="0" w:firstLine="230" w:firstLineChars="100"/>
              <w:jc w:val="both"/>
              <w:textAlignment w:val="center"/>
              <w:rPr>
                <w:rFonts w:hint="eastAsia" w:ascii="仿宋" w:hAnsi="仿宋" w:eastAsia="仿宋" w:cs="仿宋"/>
                <w:b w:val="0"/>
                <w:bCs w:val="0"/>
                <w:spacing w:val="10"/>
                <w:sz w:val="21"/>
                <w:szCs w:val="21"/>
                <w:u w:val="none"/>
                <w14:textOutline w14:w="4356" w14:cap="sq" w14:cmpd="sng" w14:algn="ctr">
                  <w14:solidFill>
                    <w14:srgbClr w14:val="000000"/>
                  </w14:solidFill>
                  <w14:prstDash w14:val="solid"/>
                  <w14:bevel/>
                </w14:textOutline>
              </w:rPr>
            </w:pPr>
            <w:r>
              <w:rPr>
                <w:rFonts w:hint="eastAsia" w:ascii="仿宋" w:hAnsi="仿宋" w:eastAsia="仿宋" w:cs="仿宋"/>
                <w:b w:val="0"/>
                <w:bCs w:val="0"/>
                <w:spacing w:val="10"/>
                <w:sz w:val="21"/>
                <w:szCs w:val="21"/>
                <w:u w:val="none"/>
                <w14:textOutline w14:w="4356" w14:cap="sq" w14:cmpd="sng" w14:algn="ctr">
                  <w14:solidFill>
                    <w14:srgbClr w14:val="000000"/>
                  </w14:solidFill>
                  <w14:prstDash w14:val="solid"/>
                  <w14:bevel/>
                </w14:textOutline>
              </w:rPr>
              <w:t>监测方法及依据</w:t>
            </w:r>
          </w:p>
        </w:tc>
        <w:tc>
          <w:tcPr>
            <w:tcW w:w="4917" w:type="dxa"/>
            <w:vAlign w:val="center"/>
          </w:tcPr>
          <w:p w14:paraId="3BB334D3">
            <w:pPr>
              <w:spacing w:before="80" w:line="291" w:lineRule="exact"/>
              <w:jc w:val="center"/>
              <w:textAlignment w:val="center"/>
              <w:rPr>
                <w:rFonts w:hint="eastAsia" w:ascii="仿宋" w:hAnsi="仿宋" w:eastAsia="仿宋" w:cs="仿宋"/>
                <w:b w:val="0"/>
                <w:bCs w:val="0"/>
                <w:spacing w:val="10"/>
                <w:sz w:val="21"/>
                <w:szCs w:val="21"/>
                <w:u w:val="none"/>
                <w14:textOutline w14:w="4356" w14:cap="sq" w14:cmpd="sng" w14:algn="ctr">
                  <w14:solidFill>
                    <w14:srgbClr w14:val="000000"/>
                  </w14:solidFill>
                  <w14:prstDash w14:val="solid"/>
                  <w14:bevel/>
                </w14:textOutline>
              </w:rPr>
            </w:pPr>
            <w:r>
              <w:rPr>
                <w:rFonts w:hint="eastAsia" w:ascii="仿宋" w:hAnsi="仿宋" w:eastAsia="仿宋" w:cs="仿宋"/>
                <w:b w:val="0"/>
                <w:bCs w:val="0"/>
                <w:spacing w:val="10"/>
                <w:sz w:val="21"/>
                <w:szCs w:val="21"/>
                <w:u w:val="none"/>
                <w14:textOutline w14:w="4356" w14:cap="sq" w14:cmpd="sng" w14:algn="ctr">
                  <w14:solidFill>
                    <w14:srgbClr w14:val="000000"/>
                  </w14:solidFill>
                  <w14:prstDash w14:val="solid"/>
                  <w14:bevel/>
                </w14:textOutline>
              </w:rPr>
              <w:t>备注</w:t>
            </w:r>
          </w:p>
        </w:tc>
      </w:tr>
      <w:tr w14:paraId="68556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4" w:type="dxa"/>
            <w:vAlign w:val="center"/>
          </w:tcPr>
          <w:p w14:paraId="529FA22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1</w:t>
            </w:r>
          </w:p>
        </w:tc>
        <w:tc>
          <w:tcPr>
            <w:tcW w:w="1248" w:type="dxa"/>
            <w:vAlign w:val="center"/>
          </w:tcPr>
          <w:p w14:paraId="2ED929C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化学需氧量</w:t>
            </w:r>
          </w:p>
        </w:tc>
        <w:tc>
          <w:tcPr>
            <w:tcW w:w="2135" w:type="dxa"/>
            <w:vAlign w:val="center"/>
          </w:tcPr>
          <w:p w14:paraId="602AEF1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重铬酸盐法</w:t>
            </w:r>
          </w:p>
        </w:tc>
        <w:tc>
          <w:tcPr>
            <w:tcW w:w="4917" w:type="dxa"/>
            <w:vMerge w:val="restart"/>
            <w:vAlign w:val="center"/>
          </w:tcPr>
          <w:p w14:paraId="04780EC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每年须进行计量检定</w:t>
            </w:r>
          </w:p>
          <w:p w14:paraId="71C41B0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依据《水污染源在线监测系统(CODcr、NH3-N等)运行技术规范》HJ355-2019对仪器进行运行维护。</w:t>
            </w:r>
          </w:p>
        </w:tc>
      </w:tr>
      <w:tr w14:paraId="51316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34" w:type="dxa"/>
            <w:vAlign w:val="center"/>
          </w:tcPr>
          <w:p w14:paraId="74DFC44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2</w:t>
            </w:r>
          </w:p>
        </w:tc>
        <w:tc>
          <w:tcPr>
            <w:tcW w:w="1248" w:type="dxa"/>
            <w:vAlign w:val="center"/>
          </w:tcPr>
          <w:p w14:paraId="664EC2B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pH</w:t>
            </w:r>
          </w:p>
        </w:tc>
        <w:tc>
          <w:tcPr>
            <w:tcW w:w="2135" w:type="dxa"/>
            <w:vAlign w:val="center"/>
          </w:tcPr>
          <w:p w14:paraId="2811005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电极法</w:t>
            </w:r>
          </w:p>
        </w:tc>
        <w:tc>
          <w:tcPr>
            <w:tcW w:w="4917" w:type="dxa"/>
            <w:vMerge w:val="continue"/>
            <w:vAlign w:val="center"/>
          </w:tcPr>
          <w:p w14:paraId="5E513B7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r>
      <w:tr w14:paraId="45BC3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834" w:type="dxa"/>
            <w:vAlign w:val="center"/>
          </w:tcPr>
          <w:p w14:paraId="7FAF5B2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3</w:t>
            </w:r>
          </w:p>
        </w:tc>
        <w:tc>
          <w:tcPr>
            <w:tcW w:w="1248" w:type="dxa"/>
            <w:vAlign w:val="center"/>
          </w:tcPr>
          <w:p w14:paraId="6A973F3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余氯</w:t>
            </w:r>
          </w:p>
        </w:tc>
        <w:tc>
          <w:tcPr>
            <w:tcW w:w="2135" w:type="dxa"/>
            <w:vAlign w:val="center"/>
          </w:tcPr>
          <w:p w14:paraId="00B49E0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电极法</w:t>
            </w:r>
          </w:p>
        </w:tc>
        <w:tc>
          <w:tcPr>
            <w:tcW w:w="4917" w:type="dxa"/>
            <w:vAlign w:val="center"/>
          </w:tcPr>
          <w:p w14:paraId="75D0638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人工使用快速试纸/试液进行运行维护</w:t>
            </w:r>
          </w:p>
        </w:tc>
      </w:tr>
      <w:tr w14:paraId="78C4C8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34" w:type="dxa"/>
            <w:vAlign w:val="center"/>
          </w:tcPr>
          <w:p w14:paraId="0BB4F78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4</w:t>
            </w:r>
          </w:p>
        </w:tc>
        <w:tc>
          <w:tcPr>
            <w:tcW w:w="1248" w:type="dxa"/>
            <w:vAlign w:val="center"/>
          </w:tcPr>
          <w:p w14:paraId="56CCE5B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流量</w:t>
            </w:r>
          </w:p>
        </w:tc>
        <w:tc>
          <w:tcPr>
            <w:tcW w:w="2135" w:type="dxa"/>
            <w:vAlign w:val="center"/>
          </w:tcPr>
          <w:p w14:paraId="5594F5F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巴歇尔槽+超声波</w:t>
            </w:r>
          </w:p>
        </w:tc>
        <w:tc>
          <w:tcPr>
            <w:tcW w:w="4917" w:type="dxa"/>
            <w:vAlign w:val="center"/>
          </w:tcPr>
          <w:p w14:paraId="46E7ED7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每年须进行计量检定</w:t>
            </w:r>
          </w:p>
        </w:tc>
      </w:tr>
    </w:tbl>
    <w:p w14:paraId="3BD0620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15"/>
          <w:sz w:val="24"/>
          <w:szCs w:val="24"/>
          <w:u w:val="none"/>
          <w:lang w:val="en-US" w:eastAsia="zh-CN"/>
        </w:rPr>
      </w:pPr>
      <w:r>
        <w:rPr>
          <w:rFonts w:hint="eastAsia" w:ascii="仿宋" w:hAnsi="仿宋" w:eastAsia="仿宋" w:cs="仿宋"/>
          <w:b w:val="0"/>
          <w:bCs w:val="0"/>
          <w:spacing w:val="15"/>
          <w:sz w:val="24"/>
          <w:szCs w:val="24"/>
          <w:u w:val="none"/>
          <w:lang w:val="en-US" w:eastAsia="zh-CN"/>
        </w:rPr>
        <w:t>4、</w:t>
      </w:r>
    </w:p>
    <w:p w14:paraId="5270E1B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15"/>
          <w:sz w:val="24"/>
          <w:szCs w:val="24"/>
          <w:u w:val="none"/>
          <w:lang w:val="en-US" w:eastAsia="zh-CN"/>
        </w:rPr>
      </w:pPr>
    </w:p>
    <w:p w14:paraId="5D8DD6C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仿宋" w:hAnsi="仿宋" w:eastAsia="仿宋" w:cs="仿宋"/>
          <w:b w:val="0"/>
          <w:bCs w:val="0"/>
          <w:spacing w:val="15"/>
          <w:sz w:val="24"/>
          <w:szCs w:val="24"/>
          <w:u w:val="none"/>
          <w:lang w:val="en-US" w:eastAsia="zh-CN"/>
        </w:rPr>
      </w:pPr>
    </w:p>
    <w:p w14:paraId="7B24458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15"/>
          <w:sz w:val="24"/>
          <w:szCs w:val="24"/>
          <w:u w:val="none"/>
          <w:lang w:val="en-US" w:eastAsia="zh-CN"/>
        </w:rPr>
      </w:pPr>
      <w:r>
        <w:rPr>
          <w:rFonts w:hint="eastAsia" w:ascii="仿宋" w:hAnsi="仿宋" w:eastAsia="仿宋" w:cs="仿宋"/>
          <w:b w:val="0"/>
          <w:bCs w:val="0"/>
          <w:spacing w:val="15"/>
          <w:sz w:val="24"/>
          <w:szCs w:val="24"/>
          <w:u w:val="none"/>
          <w:lang w:val="en-US" w:eastAsia="zh-CN"/>
        </w:rPr>
        <w:t>废水排放监测仪器设备见表13</w:t>
      </w:r>
    </w:p>
    <w:p w14:paraId="3A4351D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napToGrid w:val="0"/>
          <w:color w:val="000000"/>
          <w:spacing w:val="0"/>
          <w:kern w:val="0"/>
          <w:position w:val="0"/>
          <w:sz w:val="24"/>
          <w:szCs w:val="24"/>
          <w:u w:val="none"/>
          <w:lang w:val="zh-CN" w:eastAsia="zh-CN" w:bidi="ar-SA"/>
        </w:rPr>
      </w:pPr>
      <w:r>
        <w:rPr>
          <w:rFonts w:hint="eastAsia" w:ascii="仿宋" w:hAnsi="仿宋" w:eastAsia="仿宋" w:cs="仿宋"/>
          <w:b w:val="0"/>
          <w:bCs w:val="0"/>
          <w:snapToGrid w:val="0"/>
          <w:color w:val="000000"/>
          <w:spacing w:val="0"/>
          <w:kern w:val="0"/>
          <w:position w:val="0"/>
          <w:sz w:val="24"/>
          <w:szCs w:val="24"/>
          <w:u w:val="none"/>
          <w:lang w:val="en-US" w:eastAsia="zh-CN" w:bidi="ar-SA"/>
        </w:rPr>
        <w:t xml:space="preserve">表13 </w:t>
      </w:r>
      <w:r>
        <w:rPr>
          <w:rFonts w:hint="eastAsia" w:ascii="仿宋" w:hAnsi="仿宋" w:eastAsia="仿宋" w:cs="仿宋"/>
          <w:b w:val="0"/>
          <w:bCs w:val="0"/>
          <w:snapToGrid w:val="0"/>
          <w:color w:val="000000"/>
          <w:spacing w:val="0"/>
          <w:kern w:val="0"/>
          <w:position w:val="0"/>
          <w:sz w:val="24"/>
          <w:szCs w:val="24"/>
          <w:u w:val="none"/>
          <w:lang w:val="zh-CN" w:eastAsia="zh-CN" w:bidi="ar-SA"/>
        </w:rPr>
        <w:t>废水排放</w:t>
      </w:r>
      <w:r>
        <w:rPr>
          <w:rFonts w:hint="eastAsia" w:ascii="仿宋" w:hAnsi="仿宋" w:eastAsia="仿宋" w:cs="仿宋"/>
          <w:b w:val="0"/>
          <w:bCs w:val="0"/>
          <w:snapToGrid w:val="0"/>
          <w:color w:val="000000"/>
          <w:spacing w:val="0"/>
          <w:kern w:val="0"/>
          <w:position w:val="0"/>
          <w:sz w:val="24"/>
          <w:szCs w:val="24"/>
          <w:u w:val="none"/>
          <w:lang w:val="en-US" w:eastAsia="zh-CN" w:bidi="ar-SA"/>
        </w:rPr>
        <w:t>手工</w:t>
      </w:r>
      <w:r>
        <w:rPr>
          <w:rFonts w:hint="eastAsia" w:ascii="仿宋" w:hAnsi="仿宋" w:eastAsia="仿宋" w:cs="仿宋"/>
          <w:b w:val="0"/>
          <w:bCs w:val="0"/>
          <w:snapToGrid w:val="0"/>
          <w:color w:val="000000"/>
          <w:spacing w:val="0"/>
          <w:kern w:val="0"/>
          <w:position w:val="0"/>
          <w:sz w:val="24"/>
          <w:szCs w:val="24"/>
          <w:u w:val="none"/>
          <w:lang w:val="zh-CN" w:eastAsia="zh-CN" w:bidi="ar-SA"/>
        </w:rPr>
        <w:t>监测仪器设备表</w:t>
      </w:r>
    </w:p>
    <w:tbl>
      <w:tblPr>
        <w:tblStyle w:val="31"/>
        <w:tblW w:w="5013"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388"/>
        <w:gridCol w:w="2388"/>
        <w:gridCol w:w="3385"/>
        <w:gridCol w:w="2100"/>
      </w:tblGrid>
      <w:tr w14:paraId="5CD22B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jc w:val="center"/>
        </w:trPr>
        <w:tc>
          <w:tcPr>
            <w:tcW w:w="1163" w:type="pct"/>
            <w:vAlign w:val="center"/>
          </w:tcPr>
          <w:p w14:paraId="4CD609A4">
            <w:pPr>
              <w:spacing w:before="80" w:line="291" w:lineRule="exact"/>
              <w:jc w:val="center"/>
              <w:textAlignment w:val="center"/>
              <w:rPr>
                <w:rFonts w:hint="eastAsia" w:ascii="仿宋" w:hAnsi="仿宋" w:eastAsia="仿宋" w:cs="仿宋"/>
                <w:b w:val="0"/>
                <w:bCs w:val="0"/>
                <w:spacing w:val="10"/>
                <w:sz w:val="21"/>
                <w:szCs w:val="21"/>
                <w:u w:val="none"/>
                <w:lang w:val="en-US" w:eastAsia="zh-CN"/>
                <w14:textOutline w14:w="4356" w14:cap="sq" w14:cmpd="sng" w14:algn="ctr">
                  <w14:solidFill>
                    <w14:srgbClr w14:val="000000"/>
                  </w14:solidFill>
                  <w14:prstDash w14:val="solid"/>
                  <w14:bevel/>
                </w14:textOutline>
              </w:rPr>
            </w:pPr>
            <w:r>
              <w:rPr>
                <w:rFonts w:hint="eastAsia" w:ascii="仿宋" w:hAnsi="仿宋" w:eastAsia="仿宋" w:cs="仿宋"/>
                <w:b w:val="0"/>
                <w:bCs w:val="0"/>
                <w:spacing w:val="10"/>
                <w:sz w:val="21"/>
                <w:szCs w:val="21"/>
                <w:u w:val="none"/>
                <w:lang w:val="en-US" w:eastAsia="zh-CN"/>
                <w14:textOutline w14:w="4356" w14:cap="sq" w14:cmpd="sng" w14:algn="ctr">
                  <w14:solidFill>
                    <w14:srgbClr w14:val="000000"/>
                  </w14:solidFill>
                  <w14:prstDash w14:val="solid"/>
                  <w14:bevel/>
                </w14:textOutline>
              </w:rPr>
              <w:t>监测点位</w:t>
            </w:r>
          </w:p>
        </w:tc>
        <w:tc>
          <w:tcPr>
            <w:tcW w:w="1163" w:type="pct"/>
            <w:vAlign w:val="center"/>
          </w:tcPr>
          <w:p w14:paraId="48D606B7">
            <w:pPr>
              <w:spacing w:before="80" w:line="291" w:lineRule="exact"/>
              <w:jc w:val="center"/>
              <w:textAlignment w:val="center"/>
              <w:rPr>
                <w:rFonts w:hint="eastAsia" w:ascii="仿宋" w:hAnsi="仿宋" w:eastAsia="仿宋" w:cs="仿宋"/>
                <w:b w:val="0"/>
                <w:bCs w:val="0"/>
                <w:spacing w:val="10"/>
                <w:sz w:val="21"/>
                <w:szCs w:val="21"/>
                <w:u w:val="none"/>
                <w14:textOutline w14:w="4356" w14:cap="sq" w14:cmpd="sng" w14:algn="ctr">
                  <w14:solidFill>
                    <w14:srgbClr w14:val="000000"/>
                  </w14:solidFill>
                  <w14:prstDash w14:val="solid"/>
                  <w14:bevel/>
                </w14:textOutline>
              </w:rPr>
            </w:pPr>
            <w:r>
              <w:rPr>
                <w:rFonts w:hint="eastAsia" w:ascii="仿宋" w:hAnsi="仿宋" w:eastAsia="仿宋" w:cs="仿宋"/>
                <w:b w:val="0"/>
                <w:bCs w:val="0"/>
                <w:spacing w:val="10"/>
                <w:sz w:val="21"/>
                <w:szCs w:val="21"/>
                <w:u w:val="none"/>
                <w14:textOutline w14:w="4356" w14:cap="sq" w14:cmpd="sng" w14:algn="ctr">
                  <w14:solidFill>
                    <w14:srgbClr w14:val="000000"/>
                  </w14:solidFill>
                  <w14:prstDash w14:val="solid"/>
                  <w14:bevel/>
                </w14:textOutline>
              </w:rPr>
              <w:t>监测项目</w:t>
            </w:r>
          </w:p>
        </w:tc>
        <w:tc>
          <w:tcPr>
            <w:tcW w:w="1649" w:type="pct"/>
            <w:vAlign w:val="center"/>
          </w:tcPr>
          <w:p w14:paraId="69813F20">
            <w:pPr>
              <w:spacing w:before="80" w:line="291" w:lineRule="exact"/>
              <w:jc w:val="center"/>
              <w:textAlignment w:val="center"/>
              <w:rPr>
                <w:rFonts w:hint="eastAsia" w:ascii="仿宋" w:hAnsi="仿宋" w:eastAsia="仿宋" w:cs="仿宋"/>
                <w:b w:val="0"/>
                <w:bCs w:val="0"/>
                <w:spacing w:val="10"/>
                <w:sz w:val="21"/>
                <w:szCs w:val="21"/>
                <w:u w:val="none"/>
                <w:lang w:eastAsia="zh-CN"/>
                <w14:textOutline w14:w="4356" w14:cap="sq" w14:cmpd="sng" w14:algn="ctr">
                  <w14:solidFill>
                    <w14:srgbClr w14:val="000000"/>
                  </w14:solidFill>
                  <w14:prstDash w14:val="solid"/>
                  <w14:bevel/>
                </w14:textOutline>
              </w:rPr>
            </w:pPr>
            <w:r>
              <w:rPr>
                <w:rFonts w:hint="eastAsia" w:ascii="仿宋" w:hAnsi="仿宋" w:eastAsia="仿宋" w:cs="仿宋"/>
                <w:b w:val="0"/>
                <w:bCs w:val="0"/>
                <w:spacing w:val="10"/>
                <w:sz w:val="21"/>
                <w:szCs w:val="21"/>
                <w:u w:val="none"/>
                <w14:textOutline w14:w="4356" w14:cap="sq" w14:cmpd="sng" w14:algn="ctr">
                  <w14:solidFill>
                    <w14:srgbClr w14:val="000000"/>
                  </w14:solidFill>
                  <w14:prstDash w14:val="solid"/>
                  <w14:bevel/>
                </w14:textOutline>
              </w:rPr>
              <w:t>监测</w:t>
            </w:r>
            <w:r>
              <w:rPr>
                <w:rFonts w:hint="eastAsia" w:ascii="仿宋" w:hAnsi="仿宋" w:eastAsia="仿宋" w:cs="仿宋"/>
                <w:b w:val="0"/>
                <w:bCs w:val="0"/>
                <w:spacing w:val="10"/>
                <w:sz w:val="21"/>
                <w:szCs w:val="21"/>
                <w:u w:val="none"/>
                <w:lang w:val="en-US" w:eastAsia="zh-CN"/>
                <w14:textOutline w14:w="4356" w14:cap="sq" w14:cmpd="sng" w14:algn="ctr">
                  <w14:solidFill>
                    <w14:srgbClr w14:val="000000"/>
                  </w14:solidFill>
                  <w14:prstDash w14:val="solid"/>
                  <w14:bevel/>
                </w14:textOutline>
              </w:rPr>
              <w:t>仪器</w:t>
            </w:r>
          </w:p>
        </w:tc>
        <w:tc>
          <w:tcPr>
            <w:tcW w:w="1023" w:type="pct"/>
            <w:vAlign w:val="center"/>
          </w:tcPr>
          <w:p w14:paraId="0EBA8064">
            <w:pPr>
              <w:spacing w:before="80" w:line="291" w:lineRule="exact"/>
              <w:jc w:val="center"/>
              <w:textAlignment w:val="center"/>
              <w:rPr>
                <w:rFonts w:hint="eastAsia" w:ascii="仿宋" w:hAnsi="仿宋" w:eastAsia="仿宋" w:cs="仿宋"/>
                <w:b w:val="0"/>
                <w:bCs w:val="0"/>
                <w:spacing w:val="10"/>
                <w:sz w:val="21"/>
                <w:szCs w:val="21"/>
                <w:u w:val="none"/>
                <w:lang w:eastAsia="zh-CN"/>
                <w14:textOutline w14:w="4356" w14:cap="sq" w14:cmpd="sng" w14:algn="ctr">
                  <w14:solidFill>
                    <w14:srgbClr w14:val="000000"/>
                  </w14:solidFill>
                  <w14:prstDash w14:val="solid"/>
                  <w14:bevel/>
                </w14:textOutline>
              </w:rPr>
            </w:pPr>
            <w:r>
              <w:rPr>
                <w:rFonts w:hint="eastAsia" w:ascii="仿宋" w:hAnsi="仿宋" w:eastAsia="仿宋" w:cs="仿宋"/>
                <w:b w:val="0"/>
                <w:bCs w:val="0"/>
                <w:spacing w:val="10"/>
                <w:sz w:val="21"/>
                <w:szCs w:val="21"/>
                <w:u w:val="none"/>
                <w:lang w:val="en-US" w:eastAsia="zh-CN"/>
                <w14:textOutline w14:w="4356" w14:cap="sq" w14:cmpd="sng" w14:algn="ctr">
                  <w14:solidFill>
                    <w14:srgbClr w14:val="000000"/>
                  </w14:solidFill>
                  <w14:prstDash w14:val="solid"/>
                  <w14:bevel/>
                </w14:textOutline>
              </w:rPr>
              <w:t>型号</w:t>
            </w:r>
          </w:p>
        </w:tc>
      </w:tr>
      <w:tr w14:paraId="5006D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1163" w:type="pct"/>
            <w:vMerge w:val="restart"/>
            <w:vAlign w:val="center"/>
          </w:tcPr>
          <w:p w14:paraId="2D73495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废水总排口</w:t>
            </w:r>
          </w:p>
        </w:tc>
        <w:tc>
          <w:tcPr>
            <w:tcW w:w="1163" w:type="pct"/>
            <w:vAlign w:val="center"/>
          </w:tcPr>
          <w:p w14:paraId="6861DBF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r>
              <w:rPr>
                <w:rFonts w:hint="eastAsia" w:ascii="仿宋" w:hAnsi="仿宋" w:eastAsia="仿宋" w:cs="仿宋"/>
                <w:b w:val="0"/>
                <w:bCs w:val="0"/>
                <w:snapToGrid w:val="0"/>
                <w:color w:val="000000"/>
                <w:spacing w:val="0"/>
                <w:kern w:val="0"/>
                <w:sz w:val="21"/>
                <w:szCs w:val="21"/>
                <w:u w:val="none"/>
                <w:lang w:val="en-US" w:eastAsia="en-US" w:bidi="ar-SA"/>
              </w:rPr>
              <w:t>悬浮物</w:t>
            </w:r>
          </w:p>
        </w:tc>
        <w:tc>
          <w:tcPr>
            <w:tcW w:w="1649" w:type="pct"/>
            <w:vAlign w:val="center"/>
          </w:tcPr>
          <w:p w14:paraId="10B58DE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r>
              <w:rPr>
                <w:rFonts w:hint="eastAsia" w:ascii="仿宋" w:hAnsi="仿宋" w:eastAsia="仿宋" w:cs="仿宋"/>
                <w:b w:val="0"/>
                <w:bCs w:val="0"/>
                <w:snapToGrid w:val="0"/>
                <w:color w:val="000000"/>
                <w:spacing w:val="0"/>
                <w:kern w:val="0"/>
                <w:sz w:val="21"/>
                <w:szCs w:val="21"/>
                <w:u w:val="none"/>
                <w:lang w:val="en-US" w:eastAsia="en-US" w:bidi="ar-SA"/>
              </w:rPr>
              <w:t>电热恒温鼓风干燥箱</w:t>
            </w:r>
          </w:p>
        </w:tc>
        <w:tc>
          <w:tcPr>
            <w:tcW w:w="1023" w:type="pct"/>
            <w:vAlign w:val="center"/>
          </w:tcPr>
          <w:p w14:paraId="5B22070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snapToGrid w:val="0"/>
                <w:color w:val="000000"/>
                <w:spacing w:val="0"/>
                <w:kern w:val="0"/>
                <w:sz w:val="21"/>
                <w:szCs w:val="21"/>
                <w:u w:val="none"/>
                <w:lang w:val="en-US" w:eastAsia="en-US" w:bidi="ar-SA"/>
              </w:rPr>
              <w:t>DHG-9073BS-II</w:t>
            </w:r>
            <w:r>
              <w:rPr>
                <w:rFonts w:hint="eastAsia" w:ascii="仿宋" w:hAnsi="仿宋" w:eastAsia="仿宋" w:cs="仿宋"/>
                <w:b w:val="0"/>
                <w:bCs w:val="0"/>
                <w:snapToGrid w:val="0"/>
                <w:color w:val="000000"/>
                <w:spacing w:val="0"/>
                <w:kern w:val="0"/>
                <w:sz w:val="21"/>
                <w:szCs w:val="21"/>
                <w:u w:val="none"/>
                <w:lang w:val="en-US" w:eastAsia="zh-CN" w:bidi="ar-SA"/>
              </w:rPr>
              <w:t>I</w:t>
            </w:r>
          </w:p>
        </w:tc>
      </w:tr>
      <w:tr w14:paraId="00B61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jc w:val="center"/>
        </w:trPr>
        <w:tc>
          <w:tcPr>
            <w:tcW w:w="1163" w:type="pct"/>
            <w:vMerge w:val="continue"/>
            <w:vAlign w:val="center"/>
          </w:tcPr>
          <w:p w14:paraId="7FF2F8E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p>
        </w:tc>
        <w:tc>
          <w:tcPr>
            <w:tcW w:w="1163" w:type="pct"/>
            <w:vMerge w:val="restart"/>
            <w:vAlign w:val="center"/>
          </w:tcPr>
          <w:p w14:paraId="0317AED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r>
              <w:rPr>
                <w:rFonts w:hint="eastAsia" w:ascii="仿宋" w:hAnsi="仿宋" w:eastAsia="仿宋" w:cs="仿宋"/>
                <w:b w:val="0"/>
                <w:bCs w:val="0"/>
                <w:snapToGrid w:val="0"/>
                <w:color w:val="000000"/>
                <w:spacing w:val="0"/>
                <w:kern w:val="0"/>
                <w:sz w:val="21"/>
                <w:szCs w:val="21"/>
                <w:u w:val="none"/>
                <w:lang w:val="en-US" w:eastAsia="en-US" w:bidi="ar-SA"/>
              </w:rPr>
              <w:t>粪大肠菌群</w:t>
            </w:r>
          </w:p>
        </w:tc>
        <w:tc>
          <w:tcPr>
            <w:tcW w:w="1649" w:type="pct"/>
            <w:vAlign w:val="center"/>
          </w:tcPr>
          <w:p w14:paraId="50F9515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en-US" w:bidi="ar-SA"/>
              </w:rPr>
              <w:t>数显恒温水浴</w:t>
            </w:r>
            <w:r>
              <w:rPr>
                <w:rFonts w:hint="eastAsia" w:ascii="仿宋" w:hAnsi="仿宋" w:eastAsia="仿宋" w:cs="仿宋"/>
                <w:b w:val="0"/>
                <w:bCs w:val="0"/>
                <w:snapToGrid w:val="0"/>
                <w:color w:val="000000"/>
                <w:spacing w:val="0"/>
                <w:kern w:val="0"/>
                <w:sz w:val="21"/>
                <w:szCs w:val="21"/>
                <w:u w:val="none"/>
                <w:lang w:val="en-US" w:eastAsia="zh-CN" w:bidi="ar-SA"/>
              </w:rPr>
              <w:t>箱</w:t>
            </w:r>
          </w:p>
        </w:tc>
        <w:tc>
          <w:tcPr>
            <w:tcW w:w="1023" w:type="pct"/>
            <w:vAlign w:val="center"/>
          </w:tcPr>
          <w:p w14:paraId="25DCF52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HH-4</w:t>
            </w:r>
          </w:p>
        </w:tc>
      </w:tr>
      <w:tr w14:paraId="10D162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jc w:val="center"/>
        </w:trPr>
        <w:tc>
          <w:tcPr>
            <w:tcW w:w="1163" w:type="pct"/>
            <w:vMerge w:val="continue"/>
            <w:vAlign w:val="center"/>
          </w:tcPr>
          <w:p w14:paraId="733B4A4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p>
        </w:tc>
        <w:tc>
          <w:tcPr>
            <w:tcW w:w="1163" w:type="pct"/>
            <w:vMerge w:val="continue"/>
            <w:vAlign w:val="center"/>
          </w:tcPr>
          <w:p w14:paraId="2979CCC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p>
        </w:tc>
        <w:tc>
          <w:tcPr>
            <w:tcW w:w="1649" w:type="pct"/>
            <w:vAlign w:val="center"/>
          </w:tcPr>
          <w:p w14:paraId="4A5F8A6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r>
              <w:rPr>
                <w:rFonts w:hint="eastAsia" w:ascii="仿宋" w:hAnsi="仿宋" w:eastAsia="仿宋" w:cs="仿宋"/>
                <w:b w:val="0"/>
                <w:bCs w:val="0"/>
                <w:snapToGrid w:val="0"/>
                <w:color w:val="000000"/>
                <w:spacing w:val="0"/>
                <w:kern w:val="0"/>
                <w:sz w:val="21"/>
                <w:szCs w:val="21"/>
                <w:u w:val="none"/>
                <w:lang w:val="en-US" w:eastAsia="en-US" w:bidi="ar-SA"/>
              </w:rPr>
              <w:t>立式压力蒸汽灭菌器</w:t>
            </w:r>
          </w:p>
        </w:tc>
        <w:tc>
          <w:tcPr>
            <w:tcW w:w="1023" w:type="pct"/>
            <w:vAlign w:val="center"/>
          </w:tcPr>
          <w:p w14:paraId="5DD1492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r>
              <w:rPr>
                <w:rFonts w:hint="eastAsia" w:ascii="仿宋" w:hAnsi="仿宋" w:eastAsia="仿宋" w:cs="仿宋"/>
                <w:b w:val="0"/>
                <w:bCs w:val="0"/>
                <w:snapToGrid w:val="0"/>
                <w:color w:val="000000"/>
                <w:spacing w:val="0"/>
                <w:kern w:val="0"/>
                <w:sz w:val="21"/>
                <w:szCs w:val="21"/>
                <w:u w:val="none"/>
                <w:lang w:val="en-US" w:eastAsia="en-US" w:bidi="ar-SA"/>
              </w:rPr>
              <w:t>BXM-30R</w:t>
            </w:r>
          </w:p>
        </w:tc>
      </w:tr>
      <w:tr w14:paraId="5F0B5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1163" w:type="pct"/>
            <w:vMerge w:val="continue"/>
            <w:vAlign w:val="center"/>
          </w:tcPr>
          <w:p w14:paraId="733F7EC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p>
        </w:tc>
        <w:tc>
          <w:tcPr>
            <w:tcW w:w="1163" w:type="pct"/>
            <w:vAlign w:val="center"/>
          </w:tcPr>
          <w:p w14:paraId="0FF96F3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r>
              <w:rPr>
                <w:rFonts w:hint="eastAsia" w:ascii="仿宋" w:hAnsi="仿宋" w:eastAsia="仿宋" w:cs="仿宋"/>
                <w:b w:val="0"/>
                <w:bCs w:val="0"/>
                <w:snapToGrid w:val="0"/>
                <w:color w:val="000000"/>
                <w:spacing w:val="0"/>
                <w:kern w:val="0"/>
                <w:sz w:val="21"/>
                <w:szCs w:val="21"/>
                <w:u w:val="none"/>
                <w:lang w:val="en-US" w:eastAsia="en-US" w:bidi="ar-SA"/>
              </w:rPr>
              <w:t>总氰化物</w:t>
            </w:r>
          </w:p>
        </w:tc>
        <w:tc>
          <w:tcPr>
            <w:tcW w:w="1649" w:type="pct"/>
            <w:vAlign w:val="center"/>
          </w:tcPr>
          <w:p w14:paraId="68E59C9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r>
              <w:rPr>
                <w:rFonts w:hint="eastAsia" w:ascii="仿宋" w:hAnsi="仿宋" w:eastAsia="仿宋" w:cs="仿宋"/>
                <w:b w:val="0"/>
                <w:bCs w:val="0"/>
                <w:snapToGrid w:val="0"/>
                <w:color w:val="000000"/>
                <w:spacing w:val="0"/>
                <w:kern w:val="0"/>
                <w:sz w:val="21"/>
                <w:szCs w:val="21"/>
                <w:u w:val="none"/>
                <w:lang w:val="en-US" w:eastAsia="en-US" w:bidi="ar-SA"/>
              </w:rPr>
              <w:t>紫外可见分光光度计</w:t>
            </w:r>
          </w:p>
        </w:tc>
        <w:tc>
          <w:tcPr>
            <w:tcW w:w="1023" w:type="pct"/>
            <w:vAlign w:val="center"/>
          </w:tcPr>
          <w:p w14:paraId="546C94E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snapToGrid w:val="0"/>
                <w:color w:val="000000"/>
                <w:spacing w:val="0"/>
                <w:kern w:val="0"/>
                <w:sz w:val="21"/>
                <w:szCs w:val="21"/>
                <w:u w:val="none"/>
                <w:lang w:val="en-US" w:eastAsia="en-US" w:bidi="ar-SA"/>
              </w:rPr>
              <w:t>T2600</w:t>
            </w:r>
          </w:p>
        </w:tc>
      </w:tr>
      <w:tr w14:paraId="79F7E1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jc w:val="center"/>
        </w:trPr>
        <w:tc>
          <w:tcPr>
            <w:tcW w:w="1163" w:type="pct"/>
            <w:vMerge w:val="continue"/>
            <w:vAlign w:val="center"/>
          </w:tcPr>
          <w:p w14:paraId="2F66F07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p>
        </w:tc>
        <w:tc>
          <w:tcPr>
            <w:tcW w:w="1163" w:type="pct"/>
            <w:vAlign w:val="center"/>
          </w:tcPr>
          <w:p w14:paraId="718F006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r>
              <w:rPr>
                <w:rFonts w:hint="eastAsia" w:ascii="仿宋" w:hAnsi="仿宋" w:eastAsia="仿宋" w:cs="仿宋"/>
                <w:b w:val="0"/>
                <w:bCs w:val="0"/>
                <w:snapToGrid w:val="0"/>
                <w:color w:val="000000"/>
                <w:spacing w:val="0"/>
                <w:kern w:val="0"/>
                <w:sz w:val="21"/>
                <w:szCs w:val="21"/>
                <w:u w:val="none"/>
                <w:lang w:val="en-US" w:eastAsia="en-US" w:bidi="ar-SA"/>
              </w:rPr>
              <w:t>五日生化需氧量</w:t>
            </w:r>
          </w:p>
        </w:tc>
        <w:tc>
          <w:tcPr>
            <w:tcW w:w="1649" w:type="pct"/>
            <w:vAlign w:val="center"/>
          </w:tcPr>
          <w:p w14:paraId="171ADF2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r>
              <w:rPr>
                <w:rFonts w:hint="eastAsia" w:ascii="仿宋" w:hAnsi="仿宋" w:eastAsia="仿宋" w:cs="仿宋"/>
                <w:b w:val="0"/>
                <w:bCs w:val="0"/>
                <w:snapToGrid w:val="0"/>
                <w:color w:val="000000"/>
                <w:spacing w:val="0"/>
                <w:kern w:val="0"/>
                <w:sz w:val="21"/>
                <w:szCs w:val="21"/>
                <w:u w:val="none"/>
                <w:lang w:val="en-US" w:eastAsia="en-US" w:bidi="ar-SA"/>
              </w:rPr>
              <w:t>溶解氧测定仪</w:t>
            </w:r>
          </w:p>
        </w:tc>
        <w:tc>
          <w:tcPr>
            <w:tcW w:w="1023" w:type="pct"/>
            <w:vAlign w:val="center"/>
          </w:tcPr>
          <w:p w14:paraId="6D6C1C0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snapToGrid w:val="0"/>
                <w:color w:val="000000"/>
                <w:spacing w:val="0"/>
                <w:kern w:val="0"/>
                <w:sz w:val="21"/>
                <w:szCs w:val="21"/>
                <w:u w:val="none"/>
                <w:lang w:val="en-US" w:eastAsia="en-US" w:bidi="ar-SA"/>
              </w:rPr>
              <w:t>JPBJ-608</w:t>
            </w:r>
          </w:p>
        </w:tc>
      </w:tr>
      <w:tr w14:paraId="530CF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jc w:val="center"/>
        </w:trPr>
        <w:tc>
          <w:tcPr>
            <w:tcW w:w="1163" w:type="pct"/>
            <w:vMerge w:val="continue"/>
            <w:vAlign w:val="center"/>
          </w:tcPr>
          <w:p w14:paraId="691E4EA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p>
        </w:tc>
        <w:tc>
          <w:tcPr>
            <w:tcW w:w="1163" w:type="pct"/>
            <w:vAlign w:val="center"/>
          </w:tcPr>
          <w:p w14:paraId="2941A57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r>
              <w:rPr>
                <w:rFonts w:hint="eastAsia" w:ascii="仿宋" w:hAnsi="仿宋" w:eastAsia="仿宋" w:cs="仿宋"/>
                <w:b w:val="0"/>
                <w:bCs w:val="0"/>
                <w:snapToGrid w:val="0"/>
                <w:color w:val="000000"/>
                <w:spacing w:val="0"/>
                <w:kern w:val="0"/>
                <w:sz w:val="21"/>
                <w:szCs w:val="21"/>
                <w:u w:val="none"/>
                <w:lang w:val="en-US" w:eastAsia="en-US" w:bidi="ar-SA"/>
              </w:rPr>
              <w:t>石油类</w:t>
            </w:r>
          </w:p>
        </w:tc>
        <w:tc>
          <w:tcPr>
            <w:tcW w:w="1649" w:type="pct"/>
            <w:vAlign w:val="center"/>
          </w:tcPr>
          <w:p w14:paraId="4387F7C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r>
              <w:rPr>
                <w:rFonts w:hint="eastAsia" w:ascii="仿宋" w:hAnsi="仿宋" w:eastAsia="仿宋" w:cs="仿宋"/>
                <w:b w:val="0"/>
                <w:bCs w:val="0"/>
                <w:snapToGrid w:val="0"/>
                <w:color w:val="000000"/>
                <w:spacing w:val="0"/>
                <w:kern w:val="0"/>
                <w:sz w:val="21"/>
                <w:szCs w:val="21"/>
                <w:u w:val="none"/>
                <w:lang w:val="en-US" w:eastAsia="en-US" w:bidi="ar-SA"/>
              </w:rPr>
              <w:t>红外分光测油仪</w:t>
            </w:r>
          </w:p>
        </w:tc>
        <w:tc>
          <w:tcPr>
            <w:tcW w:w="1023" w:type="pct"/>
            <w:vAlign w:val="center"/>
          </w:tcPr>
          <w:p w14:paraId="05FA1FB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snapToGrid w:val="0"/>
                <w:color w:val="000000"/>
                <w:spacing w:val="0"/>
                <w:kern w:val="0"/>
                <w:sz w:val="21"/>
                <w:szCs w:val="21"/>
                <w:u w:val="none"/>
                <w:lang w:val="en-US" w:eastAsia="en-US" w:bidi="ar-SA"/>
              </w:rPr>
              <w:t>JC-OIL-6</w:t>
            </w:r>
          </w:p>
        </w:tc>
      </w:tr>
      <w:tr w14:paraId="52A59D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jc w:val="center"/>
        </w:trPr>
        <w:tc>
          <w:tcPr>
            <w:tcW w:w="1163" w:type="pct"/>
            <w:vMerge w:val="continue"/>
            <w:vAlign w:val="center"/>
          </w:tcPr>
          <w:p w14:paraId="700D628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p>
        </w:tc>
        <w:tc>
          <w:tcPr>
            <w:tcW w:w="1163" w:type="pct"/>
            <w:vAlign w:val="center"/>
          </w:tcPr>
          <w:p w14:paraId="66AB8F2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r>
              <w:rPr>
                <w:rFonts w:hint="eastAsia" w:ascii="仿宋" w:hAnsi="仿宋" w:eastAsia="仿宋" w:cs="仿宋"/>
                <w:b w:val="0"/>
                <w:bCs w:val="0"/>
                <w:snapToGrid w:val="0"/>
                <w:color w:val="000000"/>
                <w:spacing w:val="0"/>
                <w:kern w:val="0"/>
                <w:sz w:val="21"/>
                <w:szCs w:val="21"/>
                <w:u w:val="none"/>
                <w:lang w:val="en-US" w:eastAsia="en-US" w:bidi="ar-SA"/>
              </w:rPr>
              <w:t>动植物油</w:t>
            </w:r>
          </w:p>
        </w:tc>
        <w:tc>
          <w:tcPr>
            <w:tcW w:w="1649" w:type="pct"/>
            <w:vAlign w:val="center"/>
          </w:tcPr>
          <w:p w14:paraId="77AE21D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r>
              <w:rPr>
                <w:rFonts w:hint="eastAsia" w:ascii="仿宋" w:hAnsi="仿宋" w:eastAsia="仿宋" w:cs="仿宋"/>
                <w:b w:val="0"/>
                <w:bCs w:val="0"/>
                <w:snapToGrid w:val="0"/>
                <w:color w:val="000000"/>
                <w:spacing w:val="0"/>
                <w:kern w:val="0"/>
                <w:sz w:val="21"/>
                <w:szCs w:val="21"/>
                <w:u w:val="none"/>
                <w:lang w:val="en-US" w:eastAsia="en-US" w:bidi="ar-SA"/>
              </w:rPr>
              <w:t>红外分光测油仪</w:t>
            </w:r>
          </w:p>
        </w:tc>
        <w:tc>
          <w:tcPr>
            <w:tcW w:w="1023" w:type="pct"/>
            <w:vAlign w:val="center"/>
          </w:tcPr>
          <w:p w14:paraId="193FC49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snapToGrid w:val="0"/>
                <w:color w:val="000000"/>
                <w:spacing w:val="0"/>
                <w:kern w:val="0"/>
                <w:sz w:val="21"/>
                <w:szCs w:val="21"/>
                <w:u w:val="none"/>
                <w:lang w:val="en-US" w:eastAsia="en-US" w:bidi="ar-SA"/>
              </w:rPr>
              <w:t>JC-OIL-6</w:t>
            </w:r>
          </w:p>
        </w:tc>
      </w:tr>
      <w:tr w14:paraId="4F704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jc w:val="center"/>
        </w:trPr>
        <w:tc>
          <w:tcPr>
            <w:tcW w:w="1163" w:type="pct"/>
            <w:vMerge w:val="continue"/>
            <w:vAlign w:val="center"/>
          </w:tcPr>
          <w:p w14:paraId="2FB7200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p>
        </w:tc>
        <w:tc>
          <w:tcPr>
            <w:tcW w:w="1163" w:type="pct"/>
            <w:vAlign w:val="center"/>
          </w:tcPr>
          <w:p w14:paraId="11BD991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r>
              <w:rPr>
                <w:rFonts w:hint="eastAsia" w:ascii="仿宋" w:hAnsi="仿宋" w:eastAsia="仿宋" w:cs="仿宋"/>
                <w:b w:val="0"/>
                <w:bCs w:val="0"/>
                <w:snapToGrid w:val="0"/>
                <w:color w:val="000000"/>
                <w:spacing w:val="0"/>
                <w:kern w:val="0"/>
                <w:sz w:val="21"/>
                <w:szCs w:val="21"/>
                <w:u w:val="none"/>
                <w:lang w:val="en-US" w:eastAsia="en-US" w:bidi="ar-SA"/>
              </w:rPr>
              <w:t>挥发酚</w:t>
            </w:r>
          </w:p>
        </w:tc>
        <w:tc>
          <w:tcPr>
            <w:tcW w:w="1649" w:type="pct"/>
            <w:vAlign w:val="center"/>
          </w:tcPr>
          <w:p w14:paraId="298B81D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r>
              <w:rPr>
                <w:rFonts w:hint="eastAsia" w:ascii="仿宋" w:hAnsi="仿宋" w:eastAsia="仿宋" w:cs="仿宋"/>
                <w:b w:val="0"/>
                <w:bCs w:val="0"/>
                <w:snapToGrid w:val="0"/>
                <w:color w:val="000000"/>
                <w:spacing w:val="0"/>
                <w:kern w:val="0"/>
                <w:sz w:val="21"/>
                <w:szCs w:val="21"/>
                <w:u w:val="none"/>
                <w:lang w:val="en-US" w:eastAsia="en-US" w:bidi="ar-SA"/>
              </w:rPr>
              <w:t>紫外可见分光光度计</w:t>
            </w:r>
          </w:p>
        </w:tc>
        <w:tc>
          <w:tcPr>
            <w:tcW w:w="1023" w:type="pct"/>
            <w:vAlign w:val="center"/>
          </w:tcPr>
          <w:p w14:paraId="5AB4856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snapToGrid w:val="0"/>
                <w:color w:val="000000"/>
                <w:spacing w:val="0"/>
                <w:kern w:val="0"/>
                <w:sz w:val="21"/>
                <w:szCs w:val="21"/>
                <w:u w:val="none"/>
                <w:lang w:val="en-US" w:eastAsia="en-US" w:bidi="ar-SA"/>
              </w:rPr>
              <w:t>T2600</w:t>
            </w:r>
          </w:p>
        </w:tc>
      </w:tr>
      <w:tr w14:paraId="6F90B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jc w:val="center"/>
        </w:trPr>
        <w:tc>
          <w:tcPr>
            <w:tcW w:w="1163" w:type="pct"/>
            <w:vMerge w:val="continue"/>
            <w:vAlign w:val="center"/>
          </w:tcPr>
          <w:p w14:paraId="22B75C1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p>
        </w:tc>
        <w:tc>
          <w:tcPr>
            <w:tcW w:w="1163" w:type="pct"/>
            <w:vAlign w:val="center"/>
          </w:tcPr>
          <w:p w14:paraId="557D710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r>
              <w:rPr>
                <w:rFonts w:hint="eastAsia" w:ascii="仿宋" w:hAnsi="仿宋" w:eastAsia="仿宋" w:cs="仿宋"/>
                <w:b w:val="0"/>
                <w:bCs w:val="0"/>
                <w:snapToGrid w:val="0"/>
                <w:color w:val="000000"/>
                <w:spacing w:val="0"/>
                <w:kern w:val="0"/>
                <w:sz w:val="21"/>
                <w:szCs w:val="21"/>
                <w:u w:val="none"/>
                <w:lang w:val="en-US" w:eastAsia="en-US" w:bidi="ar-SA"/>
              </w:rPr>
              <w:t>阴离子表面活性剂</w:t>
            </w:r>
          </w:p>
        </w:tc>
        <w:tc>
          <w:tcPr>
            <w:tcW w:w="1649" w:type="pct"/>
            <w:vAlign w:val="center"/>
          </w:tcPr>
          <w:p w14:paraId="1CCBEA2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r>
              <w:rPr>
                <w:rFonts w:hint="eastAsia" w:ascii="仿宋" w:hAnsi="仿宋" w:eastAsia="仿宋" w:cs="仿宋"/>
                <w:b w:val="0"/>
                <w:bCs w:val="0"/>
                <w:snapToGrid w:val="0"/>
                <w:color w:val="000000"/>
                <w:spacing w:val="0"/>
                <w:kern w:val="0"/>
                <w:sz w:val="21"/>
                <w:szCs w:val="21"/>
                <w:u w:val="none"/>
                <w:lang w:val="en-US" w:eastAsia="en-US" w:bidi="ar-SA"/>
              </w:rPr>
              <w:t>紫外可见分光光度计</w:t>
            </w:r>
          </w:p>
        </w:tc>
        <w:tc>
          <w:tcPr>
            <w:tcW w:w="1023" w:type="pct"/>
            <w:vAlign w:val="center"/>
          </w:tcPr>
          <w:p w14:paraId="6DC03BF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snapToGrid w:val="0"/>
                <w:color w:val="000000"/>
                <w:spacing w:val="0"/>
                <w:kern w:val="0"/>
                <w:sz w:val="21"/>
                <w:szCs w:val="21"/>
                <w:u w:val="none"/>
                <w:lang w:val="en-US" w:eastAsia="en-US" w:bidi="ar-SA"/>
              </w:rPr>
              <w:t>T2600</w:t>
            </w:r>
          </w:p>
        </w:tc>
      </w:tr>
      <w:tr w14:paraId="7E794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jc w:val="center"/>
        </w:trPr>
        <w:tc>
          <w:tcPr>
            <w:tcW w:w="1163" w:type="pct"/>
            <w:vMerge w:val="continue"/>
            <w:vAlign w:val="center"/>
          </w:tcPr>
          <w:p w14:paraId="583EB80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p>
        </w:tc>
        <w:tc>
          <w:tcPr>
            <w:tcW w:w="1163" w:type="pct"/>
            <w:shd w:val="clear" w:color="auto" w:fill="auto"/>
            <w:vAlign w:val="center"/>
          </w:tcPr>
          <w:p w14:paraId="2A3B10E9">
            <w:pPr>
              <w:pStyle w:val="30"/>
              <w:keepNext w:val="0"/>
              <w:keepLines w:val="0"/>
              <w:pageBreakBefore w:val="0"/>
              <w:kinsoku/>
              <w:wordWrap/>
              <w:overflowPunct w:val="0"/>
              <w:topLinePunct w:val="0"/>
              <w:autoSpaceDE w:val="0"/>
              <w:autoSpaceDN w:val="0"/>
              <w:bidi w:val="0"/>
              <w:adjustRightInd w:val="0"/>
              <w:snapToGrid w:val="0"/>
              <w:spacing w:line="240" w:lineRule="auto"/>
              <w:jc w:val="center"/>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color w:val="FF0000"/>
                <w:kern w:val="2"/>
                <w:sz w:val="21"/>
                <w:szCs w:val="21"/>
                <w:u w:val="none"/>
                <w:lang w:val="en-US" w:eastAsia="zh-CN" w:bidi="ar-SA"/>
              </w:rPr>
              <w:t>氨氮</w:t>
            </w:r>
          </w:p>
        </w:tc>
        <w:tc>
          <w:tcPr>
            <w:tcW w:w="1649" w:type="pct"/>
            <w:shd w:val="clear" w:color="auto" w:fill="auto"/>
            <w:vAlign w:val="center"/>
          </w:tcPr>
          <w:p w14:paraId="1BDA6C79">
            <w:pPr>
              <w:keepNext w:val="0"/>
              <w:keepLines w:val="0"/>
              <w:pageBreakBefore w:val="0"/>
              <w:kinsoku/>
              <w:wordWrap/>
              <w:overflowPunct w:val="0"/>
              <w:topLinePunct w:val="0"/>
              <w:autoSpaceDE w:val="0"/>
              <w:autoSpaceDN w:val="0"/>
              <w:bidi w:val="0"/>
              <w:adjustRightInd w:val="0"/>
              <w:snapToGrid w:val="0"/>
              <w:spacing w:line="240" w:lineRule="auto"/>
              <w:jc w:val="center"/>
              <w:rPr>
                <w:rFonts w:hint="eastAsia" w:ascii="仿宋" w:hAnsi="仿宋" w:eastAsia="仿宋" w:cs="仿宋"/>
                <w:b w:val="0"/>
                <w:bCs w:val="0"/>
                <w:snapToGrid w:val="0"/>
                <w:color w:val="FF0000"/>
                <w:spacing w:val="0"/>
                <w:kern w:val="0"/>
                <w:sz w:val="21"/>
                <w:szCs w:val="21"/>
                <w:u w:val="none"/>
                <w:lang w:val="en-US" w:eastAsia="en-US" w:bidi="ar-SA"/>
              </w:rPr>
            </w:pPr>
            <w:r>
              <w:rPr>
                <w:rFonts w:hint="eastAsia" w:ascii="仿宋" w:hAnsi="仿宋" w:eastAsia="仿宋" w:cs="仿宋"/>
                <w:b w:val="0"/>
                <w:bCs w:val="0"/>
                <w:snapToGrid/>
                <w:color w:val="FF0000"/>
                <w:kern w:val="2"/>
                <w:sz w:val="21"/>
                <w:szCs w:val="21"/>
                <w:u w:val="none"/>
                <w:lang w:val="en-US" w:eastAsia="zh-CN" w:bidi="ar-SA"/>
              </w:rPr>
              <w:t>紫外可见分光光度计</w:t>
            </w:r>
          </w:p>
        </w:tc>
        <w:tc>
          <w:tcPr>
            <w:tcW w:w="1023" w:type="pct"/>
            <w:shd w:val="clear" w:color="auto" w:fill="auto"/>
            <w:vAlign w:val="center"/>
          </w:tcPr>
          <w:p w14:paraId="3FA01DFE">
            <w:pPr>
              <w:keepNext w:val="0"/>
              <w:keepLines w:val="0"/>
              <w:pageBreakBefore w:val="0"/>
              <w:kinsoku/>
              <w:wordWrap/>
              <w:overflowPunct w:val="0"/>
              <w:topLinePunct w:val="0"/>
              <w:autoSpaceDE w:val="0"/>
              <w:autoSpaceDN w:val="0"/>
              <w:bidi w:val="0"/>
              <w:adjustRightInd w:val="0"/>
              <w:snapToGrid w:val="0"/>
              <w:spacing w:line="240" w:lineRule="auto"/>
              <w:jc w:val="center"/>
              <w:rPr>
                <w:rFonts w:hint="eastAsia" w:ascii="仿宋" w:hAnsi="仿宋" w:eastAsia="仿宋" w:cs="仿宋"/>
                <w:b w:val="0"/>
                <w:bCs w:val="0"/>
                <w:snapToGrid w:val="0"/>
                <w:color w:val="FF0000"/>
                <w:spacing w:val="0"/>
                <w:kern w:val="0"/>
                <w:sz w:val="21"/>
                <w:szCs w:val="21"/>
                <w:u w:val="none"/>
                <w:lang w:val="en-US" w:eastAsia="en-US" w:bidi="ar-SA"/>
              </w:rPr>
            </w:pPr>
            <w:r>
              <w:rPr>
                <w:rFonts w:hint="eastAsia" w:ascii="仿宋" w:hAnsi="仿宋" w:eastAsia="仿宋" w:cs="仿宋"/>
                <w:b w:val="0"/>
                <w:bCs w:val="0"/>
                <w:snapToGrid/>
                <w:color w:val="FF0000"/>
                <w:kern w:val="2"/>
                <w:sz w:val="21"/>
                <w:szCs w:val="21"/>
                <w:u w:val="none"/>
                <w:lang w:val="en-US" w:eastAsia="zh-CN" w:bidi="ar-SA"/>
              </w:rPr>
              <w:t>T-2600</w:t>
            </w:r>
          </w:p>
        </w:tc>
      </w:tr>
      <w:tr w14:paraId="34E92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jc w:val="center"/>
        </w:trPr>
        <w:tc>
          <w:tcPr>
            <w:tcW w:w="1163" w:type="pct"/>
            <w:vMerge w:val="continue"/>
            <w:vAlign w:val="center"/>
          </w:tcPr>
          <w:p w14:paraId="36C1BD0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p>
        </w:tc>
        <w:tc>
          <w:tcPr>
            <w:tcW w:w="1163" w:type="pct"/>
            <w:vAlign w:val="center"/>
          </w:tcPr>
          <w:p w14:paraId="274909C4">
            <w:pPr>
              <w:pStyle w:val="30"/>
              <w:keepNext w:val="0"/>
              <w:keepLines w:val="0"/>
              <w:pageBreakBefore w:val="0"/>
              <w:kinsoku/>
              <w:wordWrap/>
              <w:overflowPunct w:val="0"/>
              <w:topLinePunct w:val="0"/>
              <w:autoSpaceDE w:val="0"/>
              <w:autoSpaceDN w:val="0"/>
              <w:bidi w:val="0"/>
              <w:adjustRightInd w:val="0"/>
              <w:snapToGrid w:val="0"/>
              <w:spacing w:line="240" w:lineRule="auto"/>
              <w:jc w:val="center"/>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color w:val="FF0000"/>
                <w:kern w:val="2"/>
                <w:sz w:val="21"/>
                <w:szCs w:val="21"/>
                <w:u w:val="none"/>
                <w:lang w:val="en-US" w:eastAsia="zh-CN" w:bidi="ar-SA"/>
              </w:rPr>
              <w:t>总氮</w:t>
            </w:r>
          </w:p>
        </w:tc>
        <w:tc>
          <w:tcPr>
            <w:tcW w:w="1649" w:type="pct"/>
            <w:vAlign w:val="center"/>
          </w:tcPr>
          <w:p w14:paraId="1F413636">
            <w:pPr>
              <w:keepNext w:val="0"/>
              <w:keepLines w:val="0"/>
              <w:pageBreakBefore w:val="0"/>
              <w:kinsoku/>
              <w:wordWrap/>
              <w:overflowPunct w:val="0"/>
              <w:topLinePunct w:val="0"/>
              <w:autoSpaceDE w:val="0"/>
              <w:autoSpaceDN w:val="0"/>
              <w:bidi w:val="0"/>
              <w:adjustRightInd w:val="0"/>
              <w:snapToGrid w:val="0"/>
              <w:spacing w:line="240" w:lineRule="auto"/>
              <w:jc w:val="center"/>
              <w:rPr>
                <w:rFonts w:hint="eastAsia" w:ascii="仿宋" w:hAnsi="仿宋" w:eastAsia="仿宋" w:cs="仿宋"/>
                <w:b w:val="0"/>
                <w:bCs w:val="0"/>
                <w:snapToGrid w:val="0"/>
                <w:color w:val="FF0000"/>
                <w:spacing w:val="0"/>
                <w:kern w:val="0"/>
                <w:sz w:val="21"/>
                <w:szCs w:val="21"/>
                <w:u w:val="none"/>
                <w:lang w:val="en-US" w:eastAsia="en-US" w:bidi="ar-SA"/>
              </w:rPr>
            </w:pPr>
            <w:r>
              <w:rPr>
                <w:rFonts w:hint="eastAsia" w:ascii="仿宋" w:hAnsi="仿宋" w:eastAsia="仿宋" w:cs="仿宋"/>
                <w:b w:val="0"/>
                <w:bCs w:val="0"/>
                <w:snapToGrid/>
                <w:color w:val="FF0000"/>
                <w:kern w:val="2"/>
                <w:sz w:val="21"/>
                <w:szCs w:val="21"/>
                <w:u w:val="none"/>
                <w:lang w:val="en-US" w:eastAsia="zh-CN" w:bidi="ar-SA"/>
              </w:rPr>
              <w:t>紫外可见分光光度计</w:t>
            </w:r>
          </w:p>
        </w:tc>
        <w:tc>
          <w:tcPr>
            <w:tcW w:w="1023" w:type="pct"/>
            <w:vAlign w:val="center"/>
          </w:tcPr>
          <w:p w14:paraId="1879D153">
            <w:pPr>
              <w:keepNext w:val="0"/>
              <w:keepLines w:val="0"/>
              <w:pageBreakBefore w:val="0"/>
              <w:kinsoku/>
              <w:wordWrap/>
              <w:overflowPunct w:val="0"/>
              <w:topLinePunct w:val="0"/>
              <w:autoSpaceDE w:val="0"/>
              <w:autoSpaceDN w:val="0"/>
              <w:bidi w:val="0"/>
              <w:adjustRightInd w:val="0"/>
              <w:snapToGrid w:val="0"/>
              <w:spacing w:line="240" w:lineRule="auto"/>
              <w:jc w:val="center"/>
              <w:rPr>
                <w:rFonts w:hint="eastAsia" w:ascii="仿宋" w:hAnsi="仿宋" w:eastAsia="仿宋" w:cs="仿宋"/>
                <w:b w:val="0"/>
                <w:bCs w:val="0"/>
                <w:snapToGrid w:val="0"/>
                <w:color w:val="FF0000"/>
                <w:spacing w:val="0"/>
                <w:kern w:val="0"/>
                <w:sz w:val="21"/>
                <w:szCs w:val="21"/>
                <w:u w:val="none"/>
                <w:lang w:val="en-US" w:eastAsia="en-US" w:bidi="ar-SA"/>
              </w:rPr>
            </w:pPr>
            <w:r>
              <w:rPr>
                <w:rFonts w:hint="eastAsia" w:ascii="仿宋" w:hAnsi="仿宋" w:eastAsia="仿宋" w:cs="仿宋"/>
                <w:b w:val="0"/>
                <w:bCs w:val="0"/>
                <w:snapToGrid/>
                <w:color w:val="FF0000"/>
                <w:kern w:val="2"/>
                <w:sz w:val="21"/>
                <w:szCs w:val="21"/>
                <w:u w:val="none"/>
                <w:lang w:val="en-US" w:eastAsia="zh-CN" w:bidi="ar-SA"/>
              </w:rPr>
              <w:t>T-2600</w:t>
            </w:r>
          </w:p>
        </w:tc>
      </w:tr>
      <w:tr w14:paraId="1575D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jc w:val="center"/>
        </w:trPr>
        <w:tc>
          <w:tcPr>
            <w:tcW w:w="1163" w:type="pct"/>
            <w:vMerge w:val="continue"/>
            <w:vAlign w:val="center"/>
          </w:tcPr>
          <w:p w14:paraId="0D08CC8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p>
        </w:tc>
        <w:tc>
          <w:tcPr>
            <w:tcW w:w="1163" w:type="pct"/>
            <w:vAlign w:val="center"/>
          </w:tcPr>
          <w:p w14:paraId="3FBAE586">
            <w:pPr>
              <w:pStyle w:val="30"/>
              <w:keepNext w:val="0"/>
              <w:keepLines w:val="0"/>
              <w:pageBreakBefore w:val="0"/>
              <w:kinsoku/>
              <w:wordWrap/>
              <w:overflowPunct w:val="0"/>
              <w:topLinePunct w:val="0"/>
              <w:autoSpaceDE w:val="0"/>
              <w:autoSpaceDN w:val="0"/>
              <w:bidi w:val="0"/>
              <w:adjustRightInd w:val="0"/>
              <w:snapToGrid w:val="0"/>
              <w:spacing w:line="240" w:lineRule="auto"/>
              <w:jc w:val="center"/>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color w:val="FF0000"/>
                <w:kern w:val="2"/>
                <w:sz w:val="21"/>
                <w:szCs w:val="21"/>
                <w:u w:val="none"/>
                <w:lang w:val="en-US" w:eastAsia="zh-CN" w:bidi="ar-SA"/>
              </w:rPr>
              <w:t>总磷</w:t>
            </w:r>
          </w:p>
        </w:tc>
        <w:tc>
          <w:tcPr>
            <w:tcW w:w="1649" w:type="pct"/>
            <w:vAlign w:val="center"/>
          </w:tcPr>
          <w:p w14:paraId="3C8EFE10">
            <w:pPr>
              <w:keepNext w:val="0"/>
              <w:keepLines w:val="0"/>
              <w:pageBreakBefore w:val="0"/>
              <w:kinsoku/>
              <w:wordWrap/>
              <w:overflowPunct w:val="0"/>
              <w:topLinePunct w:val="0"/>
              <w:autoSpaceDE w:val="0"/>
              <w:autoSpaceDN w:val="0"/>
              <w:bidi w:val="0"/>
              <w:adjustRightInd w:val="0"/>
              <w:snapToGrid w:val="0"/>
              <w:spacing w:line="240" w:lineRule="auto"/>
              <w:jc w:val="center"/>
              <w:rPr>
                <w:rFonts w:hint="eastAsia" w:ascii="仿宋" w:hAnsi="仿宋" w:eastAsia="仿宋" w:cs="仿宋"/>
                <w:b w:val="0"/>
                <w:bCs w:val="0"/>
                <w:snapToGrid w:val="0"/>
                <w:color w:val="FF0000"/>
                <w:spacing w:val="0"/>
                <w:kern w:val="0"/>
                <w:sz w:val="21"/>
                <w:szCs w:val="21"/>
                <w:u w:val="none"/>
                <w:lang w:val="en-US" w:eastAsia="en-US" w:bidi="ar-SA"/>
              </w:rPr>
            </w:pPr>
            <w:r>
              <w:rPr>
                <w:rFonts w:hint="eastAsia" w:ascii="仿宋" w:hAnsi="仿宋" w:eastAsia="仿宋" w:cs="仿宋"/>
                <w:b w:val="0"/>
                <w:bCs w:val="0"/>
                <w:snapToGrid/>
                <w:color w:val="FF0000"/>
                <w:kern w:val="2"/>
                <w:sz w:val="21"/>
                <w:szCs w:val="21"/>
                <w:u w:val="none"/>
                <w:lang w:val="en-US" w:eastAsia="zh-CN" w:bidi="ar-SA"/>
              </w:rPr>
              <w:t>紫外可见分光光度计</w:t>
            </w:r>
          </w:p>
        </w:tc>
        <w:tc>
          <w:tcPr>
            <w:tcW w:w="1023" w:type="pct"/>
            <w:vAlign w:val="center"/>
          </w:tcPr>
          <w:p w14:paraId="17038E84">
            <w:pPr>
              <w:keepNext w:val="0"/>
              <w:keepLines w:val="0"/>
              <w:pageBreakBefore w:val="0"/>
              <w:kinsoku/>
              <w:wordWrap/>
              <w:overflowPunct w:val="0"/>
              <w:topLinePunct w:val="0"/>
              <w:autoSpaceDE w:val="0"/>
              <w:autoSpaceDN w:val="0"/>
              <w:bidi w:val="0"/>
              <w:adjustRightInd w:val="0"/>
              <w:snapToGrid w:val="0"/>
              <w:spacing w:line="240" w:lineRule="auto"/>
              <w:jc w:val="center"/>
              <w:rPr>
                <w:rFonts w:hint="eastAsia" w:ascii="仿宋" w:hAnsi="仿宋" w:eastAsia="仿宋" w:cs="仿宋"/>
                <w:b w:val="0"/>
                <w:bCs w:val="0"/>
                <w:snapToGrid w:val="0"/>
                <w:color w:val="FF0000"/>
                <w:spacing w:val="0"/>
                <w:kern w:val="0"/>
                <w:sz w:val="21"/>
                <w:szCs w:val="21"/>
                <w:u w:val="none"/>
                <w:lang w:val="en-US" w:eastAsia="en-US" w:bidi="ar-SA"/>
              </w:rPr>
            </w:pPr>
            <w:r>
              <w:rPr>
                <w:rFonts w:hint="eastAsia" w:ascii="仿宋" w:hAnsi="仿宋" w:eastAsia="仿宋" w:cs="仿宋"/>
                <w:b w:val="0"/>
                <w:bCs w:val="0"/>
                <w:snapToGrid/>
                <w:color w:val="FF0000"/>
                <w:kern w:val="2"/>
                <w:sz w:val="21"/>
                <w:szCs w:val="21"/>
                <w:u w:val="none"/>
                <w:lang w:val="en-US" w:eastAsia="zh-CN" w:bidi="ar-SA"/>
              </w:rPr>
              <w:t>T-2600</w:t>
            </w:r>
          </w:p>
        </w:tc>
      </w:tr>
    </w:tbl>
    <w:p w14:paraId="7B6AC69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napToGrid w:val="0"/>
          <w:color w:val="000000"/>
          <w:spacing w:val="0"/>
          <w:kern w:val="0"/>
          <w:position w:val="0"/>
          <w:sz w:val="24"/>
          <w:szCs w:val="24"/>
          <w:u w:val="none"/>
          <w:lang w:val="zh-CN" w:eastAsia="en-US" w:bidi="ar-SA"/>
        </w:rPr>
      </w:pPr>
      <w:r>
        <w:rPr>
          <w:rFonts w:hint="eastAsia" w:ascii="仿宋" w:hAnsi="仿宋" w:eastAsia="仿宋" w:cs="仿宋"/>
          <w:b w:val="0"/>
          <w:bCs w:val="0"/>
          <w:snapToGrid w:val="0"/>
          <w:color w:val="000000"/>
          <w:spacing w:val="0"/>
          <w:kern w:val="0"/>
          <w:position w:val="0"/>
          <w:sz w:val="24"/>
          <w:szCs w:val="24"/>
          <w:u w:val="none"/>
          <w:lang w:val="en-US" w:eastAsia="zh-CN" w:bidi="ar-SA"/>
        </w:rPr>
        <w:t xml:space="preserve">表14 </w:t>
      </w:r>
      <w:r>
        <w:rPr>
          <w:rFonts w:hint="eastAsia" w:ascii="仿宋" w:hAnsi="仿宋" w:eastAsia="仿宋" w:cs="仿宋"/>
          <w:b w:val="0"/>
          <w:bCs w:val="0"/>
          <w:snapToGrid w:val="0"/>
          <w:color w:val="000000"/>
          <w:spacing w:val="0"/>
          <w:kern w:val="0"/>
          <w:position w:val="0"/>
          <w:sz w:val="24"/>
          <w:szCs w:val="24"/>
          <w:u w:val="none"/>
          <w:lang w:val="zh-CN" w:eastAsia="en-US" w:bidi="ar-SA"/>
        </w:rPr>
        <w:t>废水排放自动监测仪器设备表</w:t>
      </w:r>
    </w:p>
    <w:tbl>
      <w:tblPr>
        <w:tblStyle w:val="31"/>
        <w:tblW w:w="4937"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73"/>
        <w:gridCol w:w="1953"/>
        <w:gridCol w:w="2770"/>
        <w:gridCol w:w="2673"/>
        <w:gridCol w:w="1636"/>
      </w:tblGrid>
      <w:tr w14:paraId="2D8C0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531" w:type="pct"/>
            <w:vAlign w:val="center"/>
          </w:tcPr>
          <w:p w14:paraId="0FF12744">
            <w:pPr>
              <w:spacing w:line="300" w:lineRule="exact"/>
              <w:jc w:val="center"/>
              <w:textAlignment w:val="center"/>
              <w:rPr>
                <w:rFonts w:hint="eastAsia" w:ascii="仿宋" w:hAnsi="仿宋" w:eastAsia="仿宋" w:cs="仿宋"/>
                <w:b w:val="0"/>
                <w:bCs w:val="0"/>
                <w:spacing w:val="2"/>
                <w:sz w:val="21"/>
                <w:szCs w:val="21"/>
                <w:u w:val="none"/>
                <w14:textOutline w14:w="4356" w14:cap="sq" w14:cmpd="sng" w14:algn="ctr">
                  <w14:solidFill>
                    <w14:srgbClr w14:val="000000"/>
                  </w14:solidFill>
                  <w14:prstDash w14:val="solid"/>
                  <w14:bevel/>
                </w14:textOutline>
              </w:rPr>
            </w:pPr>
            <w:r>
              <w:rPr>
                <w:rFonts w:hint="eastAsia" w:ascii="仿宋" w:hAnsi="仿宋" w:eastAsia="仿宋" w:cs="仿宋"/>
                <w:b w:val="0"/>
                <w:bCs w:val="0"/>
                <w:spacing w:val="2"/>
                <w:sz w:val="21"/>
                <w:szCs w:val="21"/>
                <w:u w:val="none"/>
                <w14:textOutline w14:w="4356" w14:cap="sq" w14:cmpd="sng" w14:algn="ctr">
                  <w14:solidFill>
                    <w14:srgbClr w14:val="000000"/>
                  </w14:solidFill>
                  <w14:prstDash w14:val="solid"/>
                  <w14:bevel/>
                </w14:textOutline>
              </w:rPr>
              <w:t>序号</w:t>
            </w:r>
          </w:p>
        </w:tc>
        <w:tc>
          <w:tcPr>
            <w:tcW w:w="966" w:type="pct"/>
            <w:vAlign w:val="center"/>
          </w:tcPr>
          <w:p w14:paraId="227E3C06">
            <w:pPr>
              <w:spacing w:line="300" w:lineRule="exact"/>
              <w:jc w:val="center"/>
              <w:textAlignment w:val="center"/>
              <w:rPr>
                <w:rFonts w:hint="eastAsia" w:ascii="仿宋" w:hAnsi="仿宋" w:eastAsia="仿宋" w:cs="仿宋"/>
                <w:b w:val="0"/>
                <w:bCs w:val="0"/>
                <w:spacing w:val="2"/>
                <w:sz w:val="21"/>
                <w:szCs w:val="21"/>
                <w:u w:val="none"/>
                <w14:textOutline w14:w="4356" w14:cap="sq" w14:cmpd="sng" w14:algn="ctr">
                  <w14:solidFill>
                    <w14:srgbClr w14:val="000000"/>
                  </w14:solidFill>
                  <w14:prstDash w14:val="solid"/>
                  <w14:bevel/>
                </w14:textOutline>
              </w:rPr>
            </w:pPr>
            <w:r>
              <w:rPr>
                <w:rFonts w:hint="eastAsia" w:ascii="仿宋" w:hAnsi="仿宋" w:eastAsia="仿宋" w:cs="仿宋"/>
                <w:b w:val="0"/>
                <w:bCs w:val="0"/>
                <w:spacing w:val="2"/>
                <w:sz w:val="21"/>
                <w:szCs w:val="21"/>
                <w:u w:val="none"/>
                <w14:textOutline w14:w="4356" w14:cap="sq" w14:cmpd="sng" w14:algn="ctr">
                  <w14:solidFill>
                    <w14:srgbClr w14:val="000000"/>
                  </w14:solidFill>
                  <w14:prstDash w14:val="solid"/>
                  <w14:bevel/>
                </w14:textOutline>
              </w:rPr>
              <w:t>项目/设备</w:t>
            </w:r>
          </w:p>
        </w:tc>
        <w:tc>
          <w:tcPr>
            <w:tcW w:w="1370" w:type="pct"/>
            <w:vAlign w:val="center"/>
          </w:tcPr>
          <w:p w14:paraId="466FFB01">
            <w:pPr>
              <w:spacing w:line="300" w:lineRule="exact"/>
              <w:jc w:val="center"/>
              <w:textAlignment w:val="center"/>
              <w:rPr>
                <w:rFonts w:hint="eastAsia" w:ascii="仿宋" w:hAnsi="仿宋" w:eastAsia="仿宋" w:cs="仿宋"/>
                <w:b w:val="0"/>
                <w:bCs w:val="0"/>
                <w:spacing w:val="2"/>
                <w:sz w:val="21"/>
                <w:szCs w:val="21"/>
                <w:u w:val="none"/>
                <w14:textOutline w14:w="4356" w14:cap="sq" w14:cmpd="sng" w14:algn="ctr">
                  <w14:solidFill>
                    <w14:srgbClr w14:val="000000"/>
                  </w14:solidFill>
                  <w14:prstDash w14:val="solid"/>
                  <w14:bevel/>
                </w14:textOutline>
              </w:rPr>
            </w:pPr>
            <w:r>
              <w:rPr>
                <w:rFonts w:hint="eastAsia" w:ascii="仿宋" w:hAnsi="仿宋" w:eastAsia="仿宋" w:cs="仿宋"/>
                <w:b w:val="0"/>
                <w:bCs w:val="0"/>
                <w:spacing w:val="2"/>
                <w:sz w:val="21"/>
                <w:szCs w:val="21"/>
                <w:u w:val="none"/>
                <w14:textOutline w14:w="4356" w14:cap="sq" w14:cmpd="sng" w14:algn="ctr">
                  <w14:solidFill>
                    <w14:srgbClr w14:val="000000"/>
                  </w14:solidFill>
                  <w14:prstDash w14:val="solid"/>
                  <w14:bevel/>
                </w14:textOutline>
              </w:rPr>
              <w:t>仪器厂家</w:t>
            </w:r>
          </w:p>
        </w:tc>
        <w:tc>
          <w:tcPr>
            <w:tcW w:w="1322" w:type="pct"/>
            <w:vAlign w:val="center"/>
          </w:tcPr>
          <w:p w14:paraId="38C01C52">
            <w:pPr>
              <w:spacing w:line="300" w:lineRule="exact"/>
              <w:jc w:val="center"/>
              <w:textAlignment w:val="center"/>
              <w:rPr>
                <w:rFonts w:hint="eastAsia" w:ascii="仿宋" w:hAnsi="仿宋" w:eastAsia="仿宋" w:cs="仿宋"/>
                <w:b w:val="0"/>
                <w:bCs w:val="0"/>
                <w:spacing w:val="2"/>
                <w:sz w:val="21"/>
                <w:szCs w:val="21"/>
                <w:u w:val="none"/>
                <w14:textOutline w14:w="4356" w14:cap="sq" w14:cmpd="sng" w14:algn="ctr">
                  <w14:solidFill>
                    <w14:srgbClr w14:val="000000"/>
                  </w14:solidFill>
                  <w14:prstDash w14:val="solid"/>
                  <w14:bevel/>
                </w14:textOutline>
              </w:rPr>
            </w:pPr>
            <w:r>
              <w:rPr>
                <w:rFonts w:hint="eastAsia" w:ascii="仿宋" w:hAnsi="仿宋" w:eastAsia="仿宋" w:cs="仿宋"/>
                <w:b w:val="0"/>
                <w:bCs w:val="0"/>
                <w:spacing w:val="2"/>
                <w:sz w:val="21"/>
                <w:szCs w:val="21"/>
                <w:u w:val="none"/>
                <w14:textOutline w14:w="4356" w14:cap="sq" w14:cmpd="sng" w14:algn="ctr">
                  <w14:solidFill>
                    <w14:srgbClr w14:val="000000"/>
                  </w14:solidFill>
                  <w14:prstDash w14:val="solid"/>
                  <w14:bevel/>
                </w14:textOutline>
              </w:rPr>
              <w:t>规格型号</w:t>
            </w:r>
          </w:p>
        </w:tc>
        <w:tc>
          <w:tcPr>
            <w:tcW w:w="809" w:type="pct"/>
            <w:vAlign w:val="center"/>
          </w:tcPr>
          <w:p w14:paraId="591F07D7">
            <w:pPr>
              <w:spacing w:line="300" w:lineRule="exact"/>
              <w:jc w:val="center"/>
              <w:textAlignment w:val="center"/>
              <w:rPr>
                <w:rFonts w:hint="eastAsia" w:ascii="仿宋" w:hAnsi="仿宋" w:eastAsia="仿宋" w:cs="仿宋"/>
                <w:b w:val="0"/>
                <w:bCs w:val="0"/>
                <w:spacing w:val="2"/>
                <w:sz w:val="21"/>
                <w:szCs w:val="21"/>
                <w:u w:val="none"/>
                <w14:textOutline w14:w="4356" w14:cap="sq" w14:cmpd="sng" w14:algn="ctr">
                  <w14:solidFill>
                    <w14:srgbClr w14:val="000000"/>
                  </w14:solidFill>
                  <w14:prstDash w14:val="solid"/>
                  <w14:bevel/>
                </w14:textOutline>
              </w:rPr>
            </w:pPr>
            <w:r>
              <w:rPr>
                <w:rFonts w:hint="eastAsia" w:ascii="仿宋" w:hAnsi="仿宋" w:eastAsia="仿宋" w:cs="仿宋"/>
                <w:b w:val="0"/>
                <w:bCs w:val="0"/>
                <w:spacing w:val="2"/>
                <w:sz w:val="21"/>
                <w:szCs w:val="21"/>
                <w:u w:val="none"/>
                <w14:textOutline w14:w="4356" w14:cap="sq" w14:cmpd="sng" w14:algn="ctr">
                  <w14:solidFill>
                    <w14:srgbClr w14:val="000000"/>
                  </w14:solidFill>
                  <w14:prstDash w14:val="solid"/>
                  <w14:bevel/>
                </w14:textOutline>
              </w:rPr>
              <w:t>备注</w:t>
            </w:r>
          </w:p>
        </w:tc>
      </w:tr>
      <w:tr w14:paraId="770A5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jc w:val="center"/>
        </w:trPr>
        <w:tc>
          <w:tcPr>
            <w:tcW w:w="531" w:type="pct"/>
            <w:vAlign w:val="center"/>
          </w:tcPr>
          <w:p w14:paraId="5AD012E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highlight w:val="none"/>
                <w:u w:val="none"/>
                <w:lang w:val="en-US" w:eastAsia="zh-CN"/>
              </w:rPr>
            </w:pPr>
            <w:r>
              <w:rPr>
                <w:rFonts w:hint="eastAsia" w:ascii="仿宋" w:hAnsi="仿宋" w:eastAsia="仿宋" w:cs="仿宋"/>
                <w:b w:val="0"/>
                <w:bCs w:val="0"/>
                <w:spacing w:val="0"/>
                <w:sz w:val="21"/>
                <w:szCs w:val="21"/>
                <w:highlight w:val="none"/>
                <w:u w:val="none"/>
                <w:lang w:val="en-US" w:eastAsia="zh-CN"/>
              </w:rPr>
              <w:t>1</w:t>
            </w:r>
          </w:p>
        </w:tc>
        <w:tc>
          <w:tcPr>
            <w:tcW w:w="966" w:type="pct"/>
            <w:vAlign w:val="center"/>
          </w:tcPr>
          <w:p w14:paraId="2CB33880">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highlight w:val="none"/>
                <w:u w:val="none"/>
                <w:lang w:val="en-US" w:eastAsia="zh-CN"/>
              </w:rPr>
            </w:pPr>
            <w:r>
              <w:rPr>
                <w:rFonts w:hint="eastAsia" w:ascii="仿宋" w:hAnsi="仿宋" w:eastAsia="仿宋" w:cs="仿宋"/>
                <w:b w:val="0"/>
                <w:bCs w:val="0"/>
                <w:spacing w:val="0"/>
                <w:sz w:val="21"/>
                <w:szCs w:val="21"/>
                <w:highlight w:val="none"/>
                <w:u w:val="none"/>
                <w:lang w:val="en-US" w:eastAsia="zh-CN"/>
              </w:rPr>
              <w:t>pH</w:t>
            </w:r>
          </w:p>
        </w:tc>
        <w:tc>
          <w:tcPr>
            <w:tcW w:w="1370" w:type="pct"/>
            <w:vAlign w:val="center"/>
          </w:tcPr>
          <w:p w14:paraId="1E9F339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highlight w:val="none"/>
                <w:u w:val="none"/>
                <w:lang w:val="en-US" w:eastAsia="zh-CN"/>
              </w:rPr>
            </w:pPr>
            <w:r>
              <w:rPr>
                <w:rFonts w:hint="eastAsia" w:ascii="仿宋" w:hAnsi="仿宋" w:eastAsia="仿宋" w:cs="仿宋"/>
                <w:b w:val="0"/>
                <w:bCs w:val="0"/>
                <w:spacing w:val="0"/>
                <w:sz w:val="21"/>
                <w:szCs w:val="21"/>
                <w:highlight w:val="none"/>
                <w:u w:val="none"/>
                <w:lang w:val="en-US" w:eastAsia="zh-CN"/>
              </w:rPr>
              <w:t>昆山上泰</w:t>
            </w:r>
          </w:p>
        </w:tc>
        <w:tc>
          <w:tcPr>
            <w:tcW w:w="1322" w:type="pct"/>
            <w:vAlign w:val="center"/>
          </w:tcPr>
          <w:p w14:paraId="515CCE7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highlight w:val="none"/>
                <w:u w:val="none"/>
                <w:lang w:val="en-US" w:eastAsia="zh-CN"/>
              </w:rPr>
            </w:pPr>
            <w:r>
              <w:rPr>
                <w:rFonts w:hint="eastAsia" w:ascii="仿宋" w:hAnsi="仿宋" w:eastAsia="仿宋" w:cs="仿宋"/>
                <w:b w:val="0"/>
                <w:bCs w:val="0"/>
                <w:spacing w:val="0"/>
                <w:sz w:val="21"/>
                <w:szCs w:val="21"/>
                <w:highlight w:val="none"/>
                <w:u w:val="none"/>
                <w:lang w:val="en-US" w:eastAsia="zh-CN"/>
              </w:rPr>
              <w:t>PC-3110</w:t>
            </w:r>
          </w:p>
        </w:tc>
        <w:tc>
          <w:tcPr>
            <w:tcW w:w="809" w:type="pct"/>
            <w:vMerge w:val="restart"/>
            <w:vAlign w:val="center"/>
          </w:tcPr>
          <w:p w14:paraId="2DC3695D">
            <w:pPr>
              <w:spacing w:line="300" w:lineRule="exact"/>
              <w:jc w:val="center"/>
              <w:rPr>
                <w:rFonts w:hint="eastAsia" w:ascii="仿宋" w:hAnsi="仿宋" w:eastAsia="仿宋" w:cs="仿宋"/>
                <w:b w:val="0"/>
                <w:bCs w:val="0"/>
                <w:sz w:val="21"/>
                <w:szCs w:val="21"/>
                <w:u w:val="none"/>
                <w:lang w:val="en-US" w:eastAsia="zh-CN"/>
              </w:rPr>
            </w:pPr>
            <w:r>
              <w:rPr>
                <w:rFonts w:hint="eastAsia" w:ascii="仿宋" w:hAnsi="仿宋" w:eastAsia="仿宋" w:cs="仿宋"/>
                <w:b w:val="0"/>
                <w:bCs w:val="0"/>
                <w:sz w:val="21"/>
                <w:szCs w:val="21"/>
                <w:u w:val="none"/>
                <w:lang w:val="en-US" w:eastAsia="zh-CN"/>
              </w:rPr>
              <w:t>/</w:t>
            </w:r>
          </w:p>
        </w:tc>
      </w:tr>
      <w:tr w14:paraId="5E2A8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jc w:val="center"/>
        </w:trPr>
        <w:tc>
          <w:tcPr>
            <w:tcW w:w="531" w:type="pct"/>
            <w:vAlign w:val="center"/>
          </w:tcPr>
          <w:p w14:paraId="2D5995B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highlight w:val="none"/>
                <w:u w:val="none"/>
                <w:lang w:val="en-US" w:eastAsia="zh-CN"/>
              </w:rPr>
            </w:pPr>
            <w:r>
              <w:rPr>
                <w:rFonts w:hint="eastAsia" w:ascii="仿宋" w:hAnsi="仿宋" w:eastAsia="仿宋" w:cs="仿宋"/>
                <w:b w:val="0"/>
                <w:bCs w:val="0"/>
                <w:spacing w:val="0"/>
                <w:sz w:val="21"/>
                <w:szCs w:val="21"/>
                <w:highlight w:val="none"/>
                <w:u w:val="none"/>
                <w:lang w:val="en-US" w:eastAsia="zh-CN"/>
              </w:rPr>
              <w:t>2</w:t>
            </w:r>
          </w:p>
        </w:tc>
        <w:tc>
          <w:tcPr>
            <w:tcW w:w="966" w:type="pct"/>
            <w:vAlign w:val="center"/>
          </w:tcPr>
          <w:p w14:paraId="652B14F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highlight w:val="none"/>
                <w:u w:val="none"/>
                <w:lang w:val="en-US" w:eastAsia="zh-CN"/>
              </w:rPr>
            </w:pPr>
            <w:r>
              <w:rPr>
                <w:rFonts w:hint="eastAsia" w:ascii="仿宋" w:hAnsi="仿宋" w:eastAsia="仿宋" w:cs="仿宋"/>
                <w:b w:val="0"/>
                <w:bCs w:val="0"/>
                <w:spacing w:val="0"/>
                <w:sz w:val="21"/>
                <w:szCs w:val="21"/>
                <w:highlight w:val="none"/>
                <w:u w:val="none"/>
                <w:lang w:val="en-US" w:eastAsia="zh-CN"/>
              </w:rPr>
              <w:t>化学需氧量</w:t>
            </w:r>
          </w:p>
        </w:tc>
        <w:tc>
          <w:tcPr>
            <w:tcW w:w="1370" w:type="pct"/>
            <w:vAlign w:val="center"/>
          </w:tcPr>
          <w:p w14:paraId="1B86676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highlight w:val="none"/>
                <w:u w:val="none"/>
                <w:lang w:val="en-US" w:eastAsia="zh-CN"/>
              </w:rPr>
            </w:pPr>
            <w:r>
              <w:rPr>
                <w:rFonts w:hint="eastAsia" w:ascii="仿宋" w:hAnsi="仿宋" w:eastAsia="仿宋" w:cs="仿宋"/>
                <w:b w:val="0"/>
                <w:bCs w:val="0"/>
                <w:spacing w:val="0"/>
                <w:sz w:val="21"/>
                <w:szCs w:val="21"/>
                <w:highlight w:val="none"/>
                <w:u w:val="none"/>
                <w:lang w:val="en-US" w:eastAsia="zh-CN"/>
              </w:rPr>
              <w:t>江苏锐泉</w:t>
            </w:r>
          </w:p>
        </w:tc>
        <w:tc>
          <w:tcPr>
            <w:tcW w:w="1322" w:type="pct"/>
            <w:vAlign w:val="center"/>
          </w:tcPr>
          <w:p w14:paraId="345C74A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highlight w:val="none"/>
                <w:u w:val="none"/>
                <w:lang w:val="en-US" w:eastAsia="zh-CN"/>
              </w:rPr>
            </w:pPr>
            <w:r>
              <w:rPr>
                <w:rFonts w:hint="eastAsia" w:ascii="仿宋" w:hAnsi="仿宋" w:eastAsia="仿宋" w:cs="仿宋"/>
                <w:b w:val="0"/>
                <w:bCs w:val="0"/>
                <w:spacing w:val="0"/>
                <w:sz w:val="21"/>
                <w:szCs w:val="21"/>
                <w:highlight w:val="none"/>
                <w:u w:val="none"/>
                <w:lang w:val="en-US" w:eastAsia="zh-CN"/>
              </w:rPr>
              <w:t>RENQ-IV</w:t>
            </w:r>
          </w:p>
        </w:tc>
        <w:tc>
          <w:tcPr>
            <w:tcW w:w="809" w:type="pct"/>
            <w:vMerge w:val="continue"/>
            <w:vAlign w:val="center"/>
          </w:tcPr>
          <w:p w14:paraId="251D848F">
            <w:pPr>
              <w:spacing w:line="300" w:lineRule="exact"/>
              <w:jc w:val="center"/>
              <w:rPr>
                <w:rFonts w:hint="eastAsia" w:ascii="仿宋" w:hAnsi="仿宋" w:eastAsia="仿宋" w:cs="仿宋"/>
                <w:b w:val="0"/>
                <w:bCs w:val="0"/>
                <w:sz w:val="21"/>
                <w:szCs w:val="21"/>
                <w:u w:val="none"/>
              </w:rPr>
            </w:pPr>
          </w:p>
        </w:tc>
      </w:tr>
      <w:tr w14:paraId="05307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31" w:type="pct"/>
            <w:vAlign w:val="center"/>
          </w:tcPr>
          <w:p w14:paraId="1594B66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highlight w:val="none"/>
                <w:u w:val="none"/>
                <w:lang w:val="en-US" w:eastAsia="zh-CN"/>
              </w:rPr>
            </w:pPr>
            <w:r>
              <w:rPr>
                <w:rFonts w:hint="eastAsia" w:ascii="仿宋" w:hAnsi="仿宋" w:eastAsia="仿宋" w:cs="仿宋"/>
                <w:b w:val="0"/>
                <w:bCs w:val="0"/>
                <w:spacing w:val="0"/>
                <w:sz w:val="21"/>
                <w:szCs w:val="21"/>
                <w:highlight w:val="none"/>
                <w:u w:val="none"/>
                <w:lang w:val="en-US" w:eastAsia="zh-CN"/>
              </w:rPr>
              <w:t>3</w:t>
            </w:r>
          </w:p>
        </w:tc>
        <w:tc>
          <w:tcPr>
            <w:tcW w:w="966" w:type="pct"/>
            <w:vAlign w:val="center"/>
          </w:tcPr>
          <w:p w14:paraId="2DDF6E0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highlight w:val="none"/>
                <w:u w:val="none"/>
                <w:lang w:val="en-US" w:eastAsia="zh-CN"/>
              </w:rPr>
            </w:pPr>
            <w:r>
              <w:rPr>
                <w:rFonts w:hint="eastAsia" w:ascii="仿宋" w:hAnsi="仿宋" w:eastAsia="仿宋" w:cs="仿宋"/>
                <w:b w:val="0"/>
                <w:bCs w:val="0"/>
                <w:spacing w:val="0"/>
                <w:sz w:val="21"/>
                <w:szCs w:val="21"/>
                <w:highlight w:val="none"/>
                <w:u w:val="none"/>
                <w:lang w:val="en-US" w:eastAsia="zh-CN"/>
              </w:rPr>
              <w:t>总余氯</w:t>
            </w:r>
          </w:p>
        </w:tc>
        <w:tc>
          <w:tcPr>
            <w:tcW w:w="1370" w:type="pct"/>
            <w:vAlign w:val="center"/>
          </w:tcPr>
          <w:p w14:paraId="1BB1825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highlight w:val="none"/>
                <w:u w:val="none"/>
                <w:lang w:val="en-US" w:eastAsia="zh-CN"/>
              </w:rPr>
            </w:pPr>
            <w:r>
              <w:rPr>
                <w:rFonts w:hint="eastAsia" w:ascii="仿宋" w:hAnsi="仿宋" w:eastAsia="仿宋" w:cs="仿宋"/>
                <w:b w:val="0"/>
                <w:bCs w:val="0"/>
                <w:spacing w:val="0"/>
                <w:sz w:val="21"/>
                <w:szCs w:val="21"/>
                <w:highlight w:val="none"/>
                <w:u w:val="none"/>
                <w:lang w:val="en-US" w:eastAsia="zh-CN"/>
              </w:rPr>
              <w:t>浙江先河</w:t>
            </w:r>
          </w:p>
        </w:tc>
        <w:tc>
          <w:tcPr>
            <w:tcW w:w="1322" w:type="pct"/>
            <w:vAlign w:val="center"/>
          </w:tcPr>
          <w:p w14:paraId="1C8373D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highlight w:val="none"/>
                <w:u w:val="none"/>
                <w:lang w:val="en-US" w:eastAsia="zh-CN"/>
              </w:rPr>
            </w:pPr>
            <w:r>
              <w:rPr>
                <w:rFonts w:hint="eastAsia" w:ascii="仿宋" w:hAnsi="仿宋" w:eastAsia="仿宋" w:cs="仿宋"/>
                <w:b w:val="0"/>
                <w:bCs w:val="0"/>
                <w:spacing w:val="0"/>
                <w:sz w:val="21"/>
                <w:szCs w:val="21"/>
                <w:highlight w:val="none"/>
                <w:u w:val="none"/>
                <w:lang w:val="en-US" w:eastAsia="zh-CN"/>
              </w:rPr>
              <w:t>CL9650</w:t>
            </w:r>
          </w:p>
        </w:tc>
        <w:tc>
          <w:tcPr>
            <w:tcW w:w="809" w:type="pct"/>
            <w:vMerge w:val="continue"/>
            <w:vAlign w:val="center"/>
          </w:tcPr>
          <w:p w14:paraId="3BC6C5C9">
            <w:pPr>
              <w:spacing w:line="300" w:lineRule="exact"/>
              <w:jc w:val="center"/>
              <w:rPr>
                <w:rFonts w:hint="eastAsia" w:ascii="仿宋" w:hAnsi="仿宋" w:eastAsia="仿宋" w:cs="仿宋"/>
                <w:b w:val="0"/>
                <w:bCs w:val="0"/>
                <w:sz w:val="21"/>
                <w:szCs w:val="21"/>
                <w:u w:val="none"/>
              </w:rPr>
            </w:pPr>
          </w:p>
        </w:tc>
      </w:tr>
      <w:tr w14:paraId="02C6A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jc w:val="center"/>
        </w:trPr>
        <w:tc>
          <w:tcPr>
            <w:tcW w:w="531" w:type="pct"/>
            <w:vAlign w:val="center"/>
          </w:tcPr>
          <w:p w14:paraId="512F00A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highlight w:val="none"/>
                <w:u w:val="none"/>
                <w:lang w:val="en-US" w:eastAsia="zh-CN"/>
              </w:rPr>
            </w:pPr>
            <w:r>
              <w:rPr>
                <w:rFonts w:hint="eastAsia" w:ascii="仿宋" w:hAnsi="仿宋" w:eastAsia="仿宋" w:cs="仿宋"/>
                <w:b w:val="0"/>
                <w:bCs w:val="0"/>
                <w:spacing w:val="0"/>
                <w:sz w:val="21"/>
                <w:szCs w:val="21"/>
                <w:highlight w:val="none"/>
                <w:u w:val="none"/>
                <w:lang w:val="en-US" w:eastAsia="zh-CN"/>
              </w:rPr>
              <w:t>4</w:t>
            </w:r>
          </w:p>
        </w:tc>
        <w:tc>
          <w:tcPr>
            <w:tcW w:w="966" w:type="pct"/>
            <w:vAlign w:val="center"/>
          </w:tcPr>
          <w:p w14:paraId="4C985A30">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highlight w:val="none"/>
                <w:u w:val="none"/>
                <w:lang w:val="en-US" w:eastAsia="zh-CN"/>
              </w:rPr>
            </w:pPr>
            <w:r>
              <w:rPr>
                <w:rFonts w:hint="eastAsia" w:ascii="仿宋" w:hAnsi="仿宋" w:eastAsia="仿宋" w:cs="仿宋"/>
                <w:b w:val="0"/>
                <w:bCs w:val="0"/>
                <w:spacing w:val="0"/>
                <w:sz w:val="21"/>
                <w:szCs w:val="21"/>
                <w:highlight w:val="none"/>
                <w:u w:val="none"/>
                <w:lang w:val="en-US" w:eastAsia="zh-CN"/>
              </w:rPr>
              <w:t>流量计</w:t>
            </w:r>
          </w:p>
        </w:tc>
        <w:tc>
          <w:tcPr>
            <w:tcW w:w="1370" w:type="pct"/>
            <w:vAlign w:val="center"/>
          </w:tcPr>
          <w:p w14:paraId="41B7AC6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highlight w:val="none"/>
                <w:u w:val="none"/>
                <w:lang w:val="en-US" w:eastAsia="zh-CN"/>
              </w:rPr>
            </w:pPr>
            <w:r>
              <w:rPr>
                <w:rFonts w:hint="eastAsia" w:ascii="仿宋" w:hAnsi="仿宋" w:eastAsia="仿宋" w:cs="仿宋"/>
                <w:b w:val="0"/>
                <w:bCs w:val="0"/>
                <w:spacing w:val="0"/>
                <w:sz w:val="21"/>
                <w:szCs w:val="21"/>
                <w:highlight w:val="none"/>
                <w:u w:val="none"/>
                <w:lang w:val="en-US" w:eastAsia="zh-CN"/>
              </w:rPr>
              <w:t>北京九波</w:t>
            </w:r>
          </w:p>
        </w:tc>
        <w:tc>
          <w:tcPr>
            <w:tcW w:w="1322" w:type="pct"/>
            <w:vAlign w:val="center"/>
          </w:tcPr>
          <w:p w14:paraId="0F19A46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highlight w:val="none"/>
                <w:u w:val="none"/>
                <w:lang w:val="en-US" w:eastAsia="zh-CN"/>
              </w:rPr>
            </w:pPr>
            <w:r>
              <w:rPr>
                <w:rFonts w:hint="eastAsia" w:ascii="仿宋" w:hAnsi="仿宋" w:eastAsia="仿宋" w:cs="仿宋"/>
                <w:b w:val="0"/>
                <w:bCs w:val="0"/>
                <w:spacing w:val="0"/>
                <w:sz w:val="21"/>
                <w:szCs w:val="21"/>
                <w:highlight w:val="none"/>
                <w:u w:val="none"/>
                <w:lang w:val="en-US" w:eastAsia="zh-CN"/>
              </w:rPr>
              <w:t>WL-1A1</w:t>
            </w:r>
          </w:p>
        </w:tc>
        <w:tc>
          <w:tcPr>
            <w:tcW w:w="809" w:type="pct"/>
            <w:vMerge w:val="continue"/>
            <w:vAlign w:val="center"/>
          </w:tcPr>
          <w:p w14:paraId="6AE7A929">
            <w:pPr>
              <w:spacing w:line="300" w:lineRule="exact"/>
              <w:jc w:val="center"/>
              <w:rPr>
                <w:rFonts w:hint="eastAsia" w:ascii="仿宋" w:hAnsi="仿宋" w:eastAsia="仿宋" w:cs="仿宋"/>
                <w:b w:val="0"/>
                <w:bCs w:val="0"/>
                <w:sz w:val="21"/>
                <w:szCs w:val="21"/>
                <w:u w:val="none"/>
              </w:rPr>
            </w:pPr>
          </w:p>
        </w:tc>
      </w:tr>
    </w:tbl>
    <w:p w14:paraId="2365C977">
      <w:pPr>
        <w:spacing w:line="360" w:lineRule="auto"/>
        <w:outlineLvl w:val="1"/>
        <w:rPr>
          <w:rFonts w:hint="eastAsia" w:ascii="仿宋" w:hAnsi="仿宋" w:eastAsia="仿宋" w:cs="仿宋"/>
          <w:b w:val="0"/>
          <w:bCs w:val="0"/>
          <w:sz w:val="28"/>
          <w:szCs w:val="28"/>
          <w:u w:val="none"/>
        </w:rPr>
      </w:pPr>
      <w:r>
        <w:rPr>
          <w:rFonts w:hint="eastAsia" w:ascii="仿宋" w:hAnsi="仿宋" w:eastAsia="仿宋" w:cs="仿宋"/>
          <w:b w:val="0"/>
          <w:bCs w:val="0"/>
          <w:spacing w:val="-1"/>
          <w:sz w:val="28"/>
          <w:szCs w:val="28"/>
          <w:u w:val="none"/>
          <w14:textOutline w14:w="5105" w14:cap="sq" w14:cmpd="sng" w14:algn="ctr">
            <w14:solidFill>
              <w14:srgbClr w14:val="000000"/>
            </w14:solidFill>
            <w14:prstDash w14:val="solid"/>
            <w14:bevel/>
          </w14:textOutline>
        </w:rPr>
        <w:t>(四)、厂</w:t>
      </w:r>
      <w:r>
        <w:rPr>
          <w:rFonts w:hint="eastAsia" w:ascii="仿宋" w:hAnsi="仿宋" w:eastAsia="仿宋" w:cs="仿宋"/>
          <w:b w:val="0"/>
          <w:bCs w:val="0"/>
          <w:sz w:val="28"/>
          <w:szCs w:val="28"/>
          <w:u w:val="none"/>
          <w14:textOutline w14:w="5105" w14:cap="sq" w14:cmpd="sng" w14:algn="ctr">
            <w14:solidFill>
              <w14:srgbClr w14:val="000000"/>
            </w14:solidFill>
            <w14:prstDash w14:val="solid"/>
            <w14:bevel/>
          </w14:textOutline>
        </w:rPr>
        <w:t>界噪声监测方案</w:t>
      </w:r>
    </w:p>
    <w:p w14:paraId="7060452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15"/>
          <w:sz w:val="24"/>
          <w:szCs w:val="24"/>
          <w:u w:val="none"/>
          <w:lang w:val="en-US" w:eastAsia="zh-CN"/>
        </w:rPr>
      </w:pPr>
      <w:r>
        <w:rPr>
          <w:rFonts w:hint="eastAsia" w:ascii="仿宋" w:hAnsi="仿宋" w:eastAsia="仿宋" w:cs="仿宋"/>
          <w:b w:val="0"/>
          <w:bCs w:val="0"/>
          <w:spacing w:val="15"/>
          <w:sz w:val="24"/>
          <w:szCs w:val="24"/>
          <w:u w:val="none"/>
          <w:lang w:val="en-US" w:eastAsia="zh-CN"/>
        </w:rPr>
        <w:t>1、厂界噪声监测项目及监测频次见下表13。</w:t>
      </w:r>
    </w:p>
    <w:p w14:paraId="1123B32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napToGrid w:val="0"/>
          <w:color w:val="000000"/>
          <w:spacing w:val="0"/>
          <w:kern w:val="0"/>
          <w:position w:val="0"/>
          <w:sz w:val="24"/>
          <w:szCs w:val="24"/>
          <w:u w:val="none"/>
          <w:lang w:val="en-US" w:eastAsia="en-US" w:bidi="ar-SA"/>
        </w:rPr>
      </w:pPr>
      <w:r>
        <w:rPr>
          <w:rFonts w:hint="eastAsia" w:ascii="仿宋" w:hAnsi="仿宋" w:eastAsia="仿宋" w:cs="仿宋"/>
          <w:b w:val="0"/>
          <w:bCs w:val="0"/>
          <w:snapToGrid w:val="0"/>
          <w:color w:val="000000"/>
          <w:spacing w:val="0"/>
          <w:kern w:val="0"/>
          <w:position w:val="0"/>
          <w:sz w:val="24"/>
          <w:szCs w:val="24"/>
          <w:u w:val="none"/>
          <w:lang w:val="en-US" w:eastAsia="en-US" w:bidi="ar-SA"/>
        </w:rPr>
        <w:t>表1</w:t>
      </w:r>
      <w:r>
        <w:rPr>
          <w:rFonts w:hint="eastAsia" w:ascii="仿宋" w:hAnsi="仿宋" w:eastAsia="仿宋" w:cs="仿宋"/>
          <w:b w:val="0"/>
          <w:bCs w:val="0"/>
          <w:snapToGrid w:val="0"/>
          <w:color w:val="000000"/>
          <w:spacing w:val="0"/>
          <w:kern w:val="0"/>
          <w:position w:val="0"/>
          <w:sz w:val="24"/>
          <w:szCs w:val="24"/>
          <w:u w:val="none"/>
          <w:lang w:val="en-US" w:eastAsia="zh-CN" w:bidi="ar-SA"/>
        </w:rPr>
        <w:t xml:space="preserve">5 </w:t>
      </w:r>
      <w:r>
        <w:rPr>
          <w:rFonts w:hint="eastAsia" w:ascii="仿宋" w:hAnsi="仿宋" w:eastAsia="仿宋" w:cs="仿宋"/>
          <w:b w:val="0"/>
          <w:bCs w:val="0"/>
          <w:snapToGrid w:val="0"/>
          <w:color w:val="000000"/>
          <w:spacing w:val="0"/>
          <w:kern w:val="0"/>
          <w:position w:val="0"/>
          <w:sz w:val="24"/>
          <w:szCs w:val="24"/>
          <w:u w:val="none"/>
          <w:lang w:val="en-US" w:eastAsia="en-US" w:bidi="ar-SA"/>
        </w:rPr>
        <w:t>厂界噪声监测内容一览表</w:t>
      </w:r>
    </w:p>
    <w:tbl>
      <w:tblPr>
        <w:tblStyle w:val="31"/>
        <w:tblW w:w="93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0"/>
        <w:gridCol w:w="1095"/>
        <w:gridCol w:w="1650"/>
        <w:gridCol w:w="1665"/>
        <w:gridCol w:w="1500"/>
        <w:gridCol w:w="1305"/>
        <w:gridCol w:w="1030"/>
      </w:tblGrid>
      <w:tr w14:paraId="2D2B4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jc w:val="center"/>
        </w:trPr>
        <w:tc>
          <w:tcPr>
            <w:tcW w:w="1100" w:type="dxa"/>
            <w:vAlign w:val="center"/>
          </w:tcPr>
          <w:p w14:paraId="28B77E20">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highlight w:val="none"/>
                <w:u w:val="none"/>
              </w:rPr>
            </w:pPr>
            <w:r>
              <w:rPr>
                <w:rFonts w:hint="eastAsia" w:ascii="仿宋" w:hAnsi="仿宋" w:eastAsia="仿宋" w:cs="仿宋"/>
                <w:b w:val="0"/>
                <w:bCs w:val="0"/>
                <w:spacing w:val="0"/>
                <w:sz w:val="21"/>
                <w:szCs w:val="21"/>
                <w:highlight w:val="none"/>
                <w:u w:val="none"/>
              </w:rPr>
              <w:t>类 型</w:t>
            </w:r>
          </w:p>
        </w:tc>
        <w:tc>
          <w:tcPr>
            <w:tcW w:w="1095" w:type="dxa"/>
            <w:vAlign w:val="center"/>
          </w:tcPr>
          <w:p w14:paraId="3A5D7C5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highlight w:val="none"/>
                <w:u w:val="none"/>
              </w:rPr>
            </w:pPr>
            <w:r>
              <w:rPr>
                <w:rFonts w:hint="eastAsia" w:ascii="仿宋" w:hAnsi="仿宋" w:eastAsia="仿宋" w:cs="仿宋"/>
                <w:b w:val="0"/>
                <w:bCs w:val="0"/>
                <w:spacing w:val="0"/>
                <w:sz w:val="21"/>
                <w:szCs w:val="21"/>
                <w:highlight w:val="none"/>
                <w:u w:val="none"/>
              </w:rPr>
              <w:t>排放源</w:t>
            </w:r>
          </w:p>
        </w:tc>
        <w:tc>
          <w:tcPr>
            <w:tcW w:w="1650" w:type="dxa"/>
            <w:vAlign w:val="center"/>
          </w:tcPr>
          <w:p w14:paraId="49A1D34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highlight w:val="none"/>
                <w:u w:val="none"/>
              </w:rPr>
            </w:pPr>
            <w:r>
              <w:rPr>
                <w:rFonts w:hint="eastAsia" w:ascii="仿宋" w:hAnsi="仿宋" w:eastAsia="仿宋" w:cs="仿宋"/>
                <w:b w:val="0"/>
                <w:bCs w:val="0"/>
                <w:spacing w:val="0"/>
                <w:sz w:val="21"/>
                <w:szCs w:val="21"/>
                <w:highlight w:val="none"/>
                <w:u w:val="none"/>
              </w:rPr>
              <w:t>监测项目</w:t>
            </w:r>
          </w:p>
        </w:tc>
        <w:tc>
          <w:tcPr>
            <w:tcW w:w="1665" w:type="dxa"/>
            <w:vAlign w:val="center"/>
          </w:tcPr>
          <w:p w14:paraId="0C43493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highlight w:val="none"/>
                <w:u w:val="none"/>
              </w:rPr>
            </w:pPr>
            <w:r>
              <w:rPr>
                <w:rFonts w:hint="eastAsia" w:ascii="仿宋" w:hAnsi="仿宋" w:eastAsia="仿宋" w:cs="仿宋"/>
                <w:b w:val="0"/>
                <w:bCs w:val="0"/>
                <w:spacing w:val="0"/>
                <w:sz w:val="21"/>
                <w:szCs w:val="21"/>
                <w:highlight w:val="none"/>
                <w:u w:val="none"/>
              </w:rPr>
              <w:t>监测点位</w:t>
            </w:r>
          </w:p>
        </w:tc>
        <w:tc>
          <w:tcPr>
            <w:tcW w:w="1500" w:type="dxa"/>
            <w:vAlign w:val="center"/>
          </w:tcPr>
          <w:p w14:paraId="5089795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highlight w:val="none"/>
                <w:u w:val="none"/>
              </w:rPr>
            </w:pPr>
            <w:r>
              <w:rPr>
                <w:rFonts w:hint="eastAsia" w:ascii="仿宋" w:hAnsi="仿宋" w:eastAsia="仿宋" w:cs="仿宋"/>
                <w:b w:val="0"/>
                <w:bCs w:val="0"/>
                <w:spacing w:val="0"/>
                <w:sz w:val="21"/>
                <w:szCs w:val="21"/>
                <w:highlight w:val="none"/>
                <w:u w:val="none"/>
              </w:rPr>
              <w:t>监测频 次</w:t>
            </w:r>
          </w:p>
        </w:tc>
        <w:tc>
          <w:tcPr>
            <w:tcW w:w="1305" w:type="dxa"/>
            <w:vAlign w:val="center"/>
          </w:tcPr>
          <w:p w14:paraId="2A88322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highlight w:val="none"/>
                <w:u w:val="none"/>
              </w:rPr>
            </w:pPr>
            <w:r>
              <w:rPr>
                <w:rFonts w:hint="eastAsia" w:ascii="仿宋" w:hAnsi="仿宋" w:eastAsia="仿宋" w:cs="仿宋"/>
                <w:b w:val="0"/>
                <w:bCs w:val="0"/>
                <w:spacing w:val="0"/>
                <w:sz w:val="21"/>
                <w:szCs w:val="21"/>
                <w:highlight w:val="none"/>
                <w:u w:val="none"/>
              </w:rPr>
              <w:t>监测方式</w:t>
            </w:r>
          </w:p>
        </w:tc>
        <w:tc>
          <w:tcPr>
            <w:tcW w:w="1030" w:type="dxa"/>
            <w:vAlign w:val="center"/>
          </w:tcPr>
          <w:p w14:paraId="07AB004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highlight w:val="none"/>
                <w:u w:val="none"/>
              </w:rPr>
            </w:pPr>
            <w:r>
              <w:rPr>
                <w:rFonts w:hint="eastAsia" w:ascii="仿宋" w:hAnsi="仿宋" w:eastAsia="仿宋" w:cs="仿宋"/>
                <w:b w:val="0"/>
                <w:bCs w:val="0"/>
                <w:spacing w:val="0"/>
                <w:sz w:val="21"/>
                <w:szCs w:val="21"/>
                <w:highlight w:val="none"/>
                <w:u w:val="none"/>
              </w:rPr>
              <w:t>备注</w:t>
            </w:r>
          </w:p>
        </w:tc>
      </w:tr>
      <w:tr w14:paraId="08402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1100" w:type="dxa"/>
            <w:vMerge w:val="restart"/>
            <w:tcBorders>
              <w:bottom w:val="nil"/>
            </w:tcBorders>
            <w:vAlign w:val="center"/>
          </w:tcPr>
          <w:p w14:paraId="74B882D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厂界噪 声</w:t>
            </w:r>
          </w:p>
        </w:tc>
        <w:tc>
          <w:tcPr>
            <w:tcW w:w="1095" w:type="dxa"/>
            <w:vMerge w:val="restart"/>
            <w:tcBorders>
              <w:bottom w:val="nil"/>
            </w:tcBorders>
            <w:vAlign w:val="center"/>
          </w:tcPr>
          <w:p w14:paraId="18DA571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机械</w:t>
            </w:r>
          </w:p>
          <w:p w14:paraId="3EB6AD3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及设</w:t>
            </w:r>
          </w:p>
          <w:p w14:paraId="3AEBD43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备</w:t>
            </w:r>
          </w:p>
        </w:tc>
        <w:tc>
          <w:tcPr>
            <w:tcW w:w="1650" w:type="dxa"/>
            <w:vAlign w:val="center"/>
          </w:tcPr>
          <w:p w14:paraId="6A949DD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厂界噪声</w:t>
            </w:r>
          </w:p>
        </w:tc>
        <w:tc>
          <w:tcPr>
            <w:tcW w:w="1665" w:type="dxa"/>
            <w:vAlign w:val="center"/>
          </w:tcPr>
          <w:p w14:paraId="550C08D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lang w:val="en-US" w:eastAsia="zh-CN"/>
              </w:rPr>
              <w:t>厂界东</w:t>
            </w:r>
            <w:r>
              <w:rPr>
                <w:rFonts w:hint="eastAsia" w:ascii="仿宋" w:hAnsi="仿宋" w:eastAsia="仿宋" w:cs="仿宋"/>
                <w:b w:val="0"/>
                <w:bCs w:val="0"/>
                <w:spacing w:val="0"/>
                <w:sz w:val="21"/>
                <w:szCs w:val="21"/>
                <w:u w:val="none"/>
              </w:rPr>
              <w:t>外1米</w:t>
            </w:r>
          </w:p>
        </w:tc>
        <w:tc>
          <w:tcPr>
            <w:tcW w:w="1500" w:type="dxa"/>
            <w:vAlign w:val="center"/>
          </w:tcPr>
          <w:p w14:paraId="31CF55F0">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1次/季</w:t>
            </w:r>
          </w:p>
        </w:tc>
        <w:tc>
          <w:tcPr>
            <w:tcW w:w="1305" w:type="dxa"/>
            <w:vMerge w:val="restart"/>
            <w:tcBorders>
              <w:bottom w:val="nil"/>
            </w:tcBorders>
            <w:vAlign w:val="center"/>
          </w:tcPr>
          <w:p w14:paraId="7C2677C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手工监测</w:t>
            </w:r>
          </w:p>
        </w:tc>
        <w:tc>
          <w:tcPr>
            <w:tcW w:w="1030" w:type="dxa"/>
            <w:vMerge w:val="restart"/>
            <w:tcBorders>
              <w:bottom w:val="nil"/>
            </w:tcBorders>
            <w:vAlign w:val="center"/>
          </w:tcPr>
          <w:p w14:paraId="37F67A8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第三方检测</w:t>
            </w:r>
          </w:p>
        </w:tc>
      </w:tr>
      <w:tr w14:paraId="11911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1100" w:type="dxa"/>
            <w:vMerge w:val="continue"/>
            <w:tcBorders>
              <w:top w:val="nil"/>
              <w:bottom w:val="nil"/>
            </w:tcBorders>
            <w:textDirection w:val="tbRlV"/>
            <w:vAlign w:val="center"/>
          </w:tcPr>
          <w:p w14:paraId="1240A7F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p>
        </w:tc>
        <w:tc>
          <w:tcPr>
            <w:tcW w:w="1095" w:type="dxa"/>
            <w:vMerge w:val="continue"/>
            <w:tcBorders>
              <w:top w:val="nil"/>
              <w:bottom w:val="nil"/>
            </w:tcBorders>
            <w:vAlign w:val="center"/>
          </w:tcPr>
          <w:p w14:paraId="3FCB37E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p>
        </w:tc>
        <w:tc>
          <w:tcPr>
            <w:tcW w:w="1650" w:type="dxa"/>
            <w:vAlign w:val="center"/>
          </w:tcPr>
          <w:p w14:paraId="29B1E35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厂界噪声</w:t>
            </w:r>
          </w:p>
        </w:tc>
        <w:tc>
          <w:tcPr>
            <w:tcW w:w="1665" w:type="dxa"/>
            <w:vAlign w:val="center"/>
          </w:tcPr>
          <w:p w14:paraId="6340A6A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highlight w:val="none"/>
                <w:u w:val="none"/>
              </w:rPr>
            </w:pPr>
            <w:r>
              <w:rPr>
                <w:rFonts w:hint="eastAsia" w:ascii="仿宋" w:hAnsi="仿宋" w:eastAsia="仿宋" w:cs="仿宋"/>
                <w:b w:val="0"/>
                <w:bCs w:val="0"/>
                <w:spacing w:val="0"/>
                <w:sz w:val="21"/>
                <w:szCs w:val="21"/>
                <w:highlight w:val="none"/>
                <w:u w:val="none"/>
                <w:lang w:val="en-US" w:eastAsia="zh-CN"/>
              </w:rPr>
              <w:t>厂界西</w:t>
            </w:r>
            <w:r>
              <w:rPr>
                <w:rFonts w:hint="eastAsia" w:ascii="仿宋" w:hAnsi="仿宋" w:eastAsia="仿宋" w:cs="仿宋"/>
                <w:b w:val="0"/>
                <w:bCs w:val="0"/>
                <w:spacing w:val="0"/>
                <w:sz w:val="21"/>
                <w:szCs w:val="21"/>
                <w:highlight w:val="none"/>
                <w:u w:val="none"/>
              </w:rPr>
              <w:t>外1米</w:t>
            </w:r>
          </w:p>
        </w:tc>
        <w:tc>
          <w:tcPr>
            <w:tcW w:w="1500" w:type="dxa"/>
            <w:vAlign w:val="center"/>
          </w:tcPr>
          <w:p w14:paraId="18708F2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1次/季</w:t>
            </w:r>
          </w:p>
        </w:tc>
        <w:tc>
          <w:tcPr>
            <w:tcW w:w="1305" w:type="dxa"/>
            <w:vMerge w:val="continue"/>
            <w:tcBorders>
              <w:top w:val="nil"/>
              <w:bottom w:val="nil"/>
            </w:tcBorders>
            <w:vAlign w:val="center"/>
          </w:tcPr>
          <w:p w14:paraId="5A713EF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p>
        </w:tc>
        <w:tc>
          <w:tcPr>
            <w:tcW w:w="1030" w:type="dxa"/>
            <w:vMerge w:val="continue"/>
            <w:tcBorders>
              <w:top w:val="nil"/>
              <w:bottom w:val="nil"/>
            </w:tcBorders>
            <w:vAlign w:val="center"/>
          </w:tcPr>
          <w:p w14:paraId="6AF2D4F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p>
        </w:tc>
      </w:tr>
      <w:tr w14:paraId="29F9F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1100" w:type="dxa"/>
            <w:vMerge w:val="continue"/>
            <w:tcBorders>
              <w:top w:val="nil"/>
              <w:bottom w:val="nil"/>
            </w:tcBorders>
            <w:textDirection w:val="tbRlV"/>
            <w:vAlign w:val="center"/>
          </w:tcPr>
          <w:p w14:paraId="0DBD393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p>
        </w:tc>
        <w:tc>
          <w:tcPr>
            <w:tcW w:w="1095" w:type="dxa"/>
            <w:vMerge w:val="continue"/>
            <w:tcBorders>
              <w:top w:val="nil"/>
              <w:bottom w:val="nil"/>
            </w:tcBorders>
            <w:vAlign w:val="center"/>
          </w:tcPr>
          <w:p w14:paraId="00E3952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p>
        </w:tc>
        <w:tc>
          <w:tcPr>
            <w:tcW w:w="1650" w:type="dxa"/>
            <w:vAlign w:val="center"/>
          </w:tcPr>
          <w:p w14:paraId="40B08A0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厂界噪声</w:t>
            </w:r>
          </w:p>
        </w:tc>
        <w:tc>
          <w:tcPr>
            <w:tcW w:w="1665" w:type="dxa"/>
            <w:vAlign w:val="center"/>
          </w:tcPr>
          <w:p w14:paraId="21313A9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highlight w:val="none"/>
                <w:u w:val="none"/>
              </w:rPr>
            </w:pPr>
            <w:r>
              <w:rPr>
                <w:rFonts w:hint="eastAsia" w:ascii="仿宋" w:hAnsi="仿宋" w:eastAsia="仿宋" w:cs="仿宋"/>
                <w:b w:val="0"/>
                <w:bCs w:val="0"/>
                <w:spacing w:val="0"/>
                <w:sz w:val="21"/>
                <w:szCs w:val="21"/>
                <w:highlight w:val="none"/>
                <w:u w:val="none"/>
                <w:lang w:val="en-US" w:eastAsia="zh-CN"/>
              </w:rPr>
              <w:t>厂界南</w:t>
            </w:r>
            <w:r>
              <w:rPr>
                <w:rFonts w:hint="eastAsia" w:ascii="仿宋" w:hAnsi="仿宋" w:eastAsia="仿宋" w:cs="仿宋"/>
                <w:b w:val="0"/>
                <w:bCs w:val="0"/>
                <w:spacing w:val="0"/>
                <w:sz w:val="21"/>
                <w:szCs w:val="21"/>
                <w:highlight w:val="none"/>
                <w:u w:val="none"/>
              </w:rPr>
              <w:t>外1米</w:t>
            </w:r>
          </w:p>
        </w:tc>
        <w:tc>
          <w:tcPr>
            <w:tcW w:w="1500" w:type="dxa"/>
            <w:vAlign w:val="center"/>
          </w:tcPr>
          <w:p w14:paraId="42345A0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1次/季</w:t>
            </w:r>
          </w:p>
        </w:tc>
        <w:tc>
          <w:tcPr>
            <w:tcW w:w="1305" w:type="dxa"/>
            <w:vMerge w:val="continue"/>
            <w:tcBorders>
              <w:top w:val="nil"/>
              <w:bottom w:val="nil"/>
            </w:tcBorders>
            <w:vAlign w:val="center"/>
          </w:tcPr>
          <w:p w14:paraId="31E4CD0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p>
        </w:tc>
        <w:tc>
          <w:tcPr>
            <w:tcW w:w="1030" w:type="dxa"/>
            <w:vMerge w:val="continue"/>
            <w:tcBorders>
              <w:top w:val="nil"/>
              <w:bottom w:val="nil"/>
            </w:tcBorders>
            <w:vAlign w:val="center"/>
          </w:tcPr>
          <w:p w14:paraId="23AFAB3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p>
        </w:tc>
      </w:tr>
      <w:tr w14:paraId="427A2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1100" w:type="dxa"/>
            <w:vMerge w:val="continue"/>
            <w:tcBorders>
              <w:top w:val="nil"/>
            </w:tcBorders>
            <w:textDirection w:val="tbRlV"/>
            <w:vAlign w:val="center"/>
          </w:tcPr>
          <w:p w14:paraId="2C5AF1D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p>
        </w:tc>
        <w:tc>
          <w:tcPr>
            <w:tcW w:w="1095" w:type="dxa"/>
            <w:vMerge w:val="continue"/>
            <w:tcBorders>
              <w:top w:val="nil"/>
            </w:tcBorders>
            <w:vAlign w:val="center"/>
          </w:tcPr>
          <w:p w14:paraId="626FE44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p>
        </w:tc>
        <w:tc>
          <w:tcPr>
            <w:tcW w:w="1650" w:type="dxa"/>
            <w:vAlign w:val="center"/>
          </w:tcPr>
          <w:p w14:paraId="006A567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厂界噪声</w:t>
            </w:r>
          </w:p>
        </w:tc>
        <w:tc>
          <w:tcPr>
            <w:tcW w:w="1665" w:type="dxa"/>
            <w:vAlign w:val="center"/>
          </w:tcPr>
          <w:p w14:paraId="320A065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highlight w:val="none"/>
                <w:u w:val="none"/>
              </w:rPr>
            </w:pPr>
            <w:r>
              <w:rPr>
                <w:rFonts w:hint="eastAsia" w:ascii="仿宋" w:hAnsi="仿宋" w:eastAsia="仿宋" w:cs="仿宋"/>
                <w:b w:val="0"/>
                <w:bCs w:val="0"/>
                <w:spacing w:val="0"/>
                <w:sz w:val="21"/>
                <w:szCs w:val="21"/>
                <w:highlight w:val="none"/>
                <w:u w:val="none"/>
                <w:lang w:val="en-US" w:eastAsia="zh-CN"/>
              </w:rPr>
              <w:t>厂界北</w:t>
            </w:r>
            <w:r>
              <w:rPr>
                <w:rFonts w:hint="eastAsia" w:ascii="仿宋" w:hAnsi="仿宋" w:eastAsia="仿宋" w:cs="仿宋"/>
                <w:b w:val="0"/>
                <w:bCs w:val="0"/>
                <w:spacing w:val="0"/>
                <w:sz w:val="21"/>
                <w:szCs w:val="21"/>
                <w:highlight w:val="none"/>
                <w:u w:val="none"/>
              </w:rPr>
              <w:t>外1米</w:t>
            </w:r>
          </w:p>
        </w:tc>
        <w:tc>
          <w:tcPr>
            <w:tcW w:w="1500" w:type="dxa"/>
            <w:vAlign w:val="center"/>
          </w:tcPr>
          <w:p w14:paraId="61BCFB2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1次/季</w:t>
            </w:r>
          </w:p>
        </w:tc>
        <w:tc>
          <w:tcPr>
            <w:tcW w:w="1305" w:type="dxa"/>
            <w:vMerge w:val="continue"/>
            <w:tcBorders>
              <w:top w:val="nil"/>
            </w:tcBorders>
            <w:vAlign w:val="center"/>
          </w:tcPr>
          <w:p w14:paraId="7CF1365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p>
        </w:tc>
        <w:tc>
          <w:tcPr>
            <w:tcW w:w="1030" w:type="dxa"/>
            <w:vMerge w:val="continue"/>
            <w:tcBorders>
              <w:top w:val="nil"/>
            </w:tcBorders>
            <w:vAlign w:val="center"/>
          </w:tcPr>
          <w:p w14:paraId="77BCC64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p>
        </w:tc>
      </w:tr>
    </w:tbl>
    <w:p w14:paraId="4B60B8E3">
      <w:pPr>
        <w:ind w:left="0" w:leftChars="0" w:firstLine="540" w:firstLineChars="200"/>
        <w:rPr>
          <w:rFonts w:hint="eastAsia" w:ascii="仿宋" w:hAnsi="仿宋" w:eastAsia="仿宋" w:cs="仿宋"/>
          <w:b w:val="0"/>
          <w:bCs w:val="0"/>
          <w:spacing w:val="15"/>
          <w:sz w:val="24"/>
          <w:szCs w:val="24"/>
          <w:u w:val="none"/>
          <w:lang w:val="en-US" w:eastAsia="zh-CN"/>
        </w:rPr>
      </w:pPr>
      <w:r>
        <w:rPr>
          <w:rFonts w:hint="eastAsia" w:ascii="仿宋" w:hAnsi="仿宋" w:eastAsia="仿宋" w:cs="仿宋"/>
          <w:b w:val="0"/>
          <w:bCs w:val="0"/>
          <w:spacing w:val="15"/>
          <w:sz w:val="24"/>
          <w:szCs w:val="24"/>
          <w:u w:val="none"/>
          <w:lang w:val="en-US" w:eastAsia="en-US"/>
        </w:rPr>
        <w:t>2、</w:t>
      </w:r>
      <w:r>
        <w:rPr>
          <w:rFonts w:hint="eastAsia" w:ascii="仿宋" w:hAnsi="仿宋" w:eastAsia="仿宋" w:cs="仿宋"/>
          <w:b w:val="0"/>
          <w:bCs w:val="0"/>
          <w:spacing w:val="15"/>
          <w:sz w:val="24"/>
          <w:szCs w:val="24"/>
          <w:u w:val="none"/>
          <w:lang w:val="en-US" w:eastAsia="zh-CN"/>
        </w:rPr>
        <w:t>厂界噪声监测方法及依据情况见下表。</w:t>
      </w:r>
    </w:p>
    <w:p w14:paraId="5361030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napToGrid w:val="0"/>
          <w:color w:val="000000"/>
          <w:spacing w:val="0"/>
          <w:kern w:val="0"/>
          <w:position w:val="0"/>
          <w:sz w:val="24"/>
          <w:szCs w:val="24"/>
          <w:u w:val="none"/>
          <w:lang w:val="en-US" w:eastAsia="en-US" w:bidi="ar-SA"/>
        </w:rPr>
      </w:pPr>
      <w:r>
        <w:rPr>
          <w:rFonts w:hint="eastAsia" w:ascii="仿宋" w:hAnsi="仿宋" w:eastAsia="仿宋" w:cs="仿宋"/>
          <w:b w:val="0"/>
          <w:bCs w:val="0"/>
          <w:snapToGrid w:val="0"/>
          <w:color w:val="000000"/>
          <w:spacing w:val="0"/>
          <w:kern w:val="0"/>
          <w:position w:val="0"/>
          <w:sz w:val="24"/>
          <w:szCs w:val="24"/>
          <w:u w:val="none"/>
          <w:lang w:val="en-US" w:eastAsia="en-US" w:bidi="ar-SA"/>
        </w:rPr>
        <w:t>表16 厂界噪声监测方法及依据一览表</w:t>
      </w:r>
    </w:p>
    <w:p w14:paraId="4EDBF12E">
      <w:pPr>
        <w:spacing w:line="29" w:lineRule="exact"/>
        <w:rPr>
          <w:rFonts w:hint="eastAsia" w:ascii="仿宋" w:hAnsi="仿宋" w:eastAsia="仿宋" w:cs="仿宋"/>
          <w:b w:val="0"/>
          <w:bCs w:val="0"/>
          <w:u w:val="none"/>
        </w:rPr>
      </w:pPr>
    </w:p>
    <w:tbl>
      <w:tblPr>
        <w:tblStyle w:val="31"/>
        <w:tblW w:w="93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14"/>
        <w:gridCol w:w="3060"/>
        <w:gridCol w:w="3399"/>
      </w:tblGrid>
      <w:tr w14:paraId="5753B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jc w:val="center"/>
        </w:trPr>
        <w:tc>
          <w:tcPr>
            <w:tcW w:w="2914" w:type="dxa"/>
            <w:vAlign w:val="center"/>
          </w:tcPr>
          <w:p w14:paraId="6A85ABBD">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监测项目</w:t>
            </w:r>
          </w:p>
        </w:tc>
        <w:tc>
          <w:tcPr>
            <w:tcW w:w="3060" w:type="dxa"/>
            <w:vAlign w:val="center"/>
          </w:tcPr>
          <w:p w14:paraId="4CC9168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监测方法及依据</w:t>
            </w:r>
          </w:p>
        </w:tc>
        <w:tc>
          <w:tcPr>
            <w:tcW w:w="3399" w:type="dxa"/>
            <w:vAlign w:val="center"/>
          </w:tcPr>
          <w:p w14:paraId="2A6B936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备注</w:t>
            </w:r>
          </w:p>
        </w:tc>
      </w:tr>
      <w:tr w14:paraId="6F66C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jc w:val="center"/>
        </w:trPr>
        <w:tc>
          <w:tcPr>
            <w:tcW w:w="2914" w:type="dxa"/>
            <w:vAlign w:val="center"/>
          </w:tcPr>
          <w:p w14:paraId="0E6E31B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r>
              <w:rPr>
                <w:rFonts w:hint="eastAsia" w:ascii="仿宋" w:hAnsi="仿宋" w:eastAsia="仿宋" w:cs="仿宋"/>
                <w:b w:val="0"/>
                <w:bCs w:val="0"/>
                <w:snapToGrid w:val="0"/>
                <w:color w:val="000000"/>
                <w:spacing w:val="0"/>
                <w:kern w:val="0"/>
                <w:sz w:val="21"/>
                <w:szCs w:val="21"/>
                <w:u w:val="none"/>
                <w:lang w:val="en-US" w:eastAsia="en-US" w:bidi="ar-SA"/>
              </w:rPr>
              <w:t>厂界噪声</w:t>
            </w:r>
          </w:p>
        </w:tc>
        <w:tc>
          <w:tcPr>
            <w:tcW w:w="3060" w:type="dxa"/>
            <w:vAlign w:val="center"/>
          </w:tcPr>
          <w:p w14:paraId="1486913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r>
              <w:rPr>
                <w:rFonts w:hint="eastAsia" w:ascii="仿宋" w:hAnsi="仿宋" w:eastAsia="仿宋" w:cs="仿宋"/>
                <w:b w:val="0"/>
                <w:bCs w:val="0"/>
                <w:snapToGrid w:val="0"/>
                <w:color w:val="000000"/>
                <w:spacing w:val="0"/>
                <w:kern w:val="0"/>
                <w:sz w:val="21"/>
                <w:szCs w:val="21"/>
                <w:u w:val="none"/>
                <w:lang w:val="en-US" w:eastAsia="en-US" w:bidi="ar-SA"/>
              </w:rPr>
              <w:t>《工业企业厂界环境噪声排放标准》GB12348-2008</w:t>
            </w:r>
          </w:p>
        </w:tc>
        <w:tc>
          <w:tcPr>
            <w:tcW w:w="3399" w:type="dxa"/>
            <w:vAlign w:val="center"/>
          </w:tcPr>
          <w:p w14:paraId="7262E13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厂界噪声分昼间(6:00～22:00)、 夜间(22:00～次日6:00)各测一次</w:t>
            </w:r>
          </w:p>
        </w:tc>
      </w:tr>
    </w:tbl>
    <w:p w14:paraId="52527834">
      <w:pPr>
        <w:pStyle w:val="23"/>
        <w:rPr>
          <w:rFonts w:hint="eastAsia" w:ascii="仿宋" w:hAnsi="仿宋" w:eastAsia="仿宋" w:cs="仿宋"/>
          <w:b w:val="0"/>
          <w:bCs w:val="0"/>
          <w:u w:val="none"/>
        </w:rPr>
      </w:pPr>
    </w:p>
    <w:p w14:paraId="3752D2A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15"/>
          <w:sz w:val="24"/>
          <w:szCs w:val="24"/>
          <w:u w:val="none"/>
          <w:lang w:val="en-US" w:eastAsia="en-US"/>
        </w:rPr>
      </w:pPr>
      <w:r>
        <w:rPr>
          <w:rFonts w:hint="eastAsia" w:ascii="仿宋" w:hAnsi="仿宋" w:eastAsia="仿宋" w:cs="仿宋"/>
          <w:b w:val="0"/>
          <w:bCs w:val="0"/>
          <w:spacing w:val="15"/>
          <w:sz w:val="24"/>
          <w:szCs w:val="24"/>
          <w:u w:val="none"/>
          <w:lang w:val="en-US" w:eastAsia="en-US"/>
        </w:rPr>
        <w:t>3、厂界噪声监测结果评价标准见下表。</w:t>
      </w:r>
    </w:p>
    <w:p w14:paraId="274EF98D">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0"/>
        <w:jc w:val="center"/>
        <w:textAlignment w:val="baseline"/>
        <w:rPr>
          <w:rFonts w:hint="eastAsia" w:ascii="仿宋" w:hAnsi="仿宋" w:eastAsia="仿宋" w:cs="仿宋"/>
          <w:b w:val="0"/>
          <w:bCs w:val="0"/>
          <w:snapToGrid w:val="0"/>
          <w:color w:val="000000"/>
          <w:spacing w:val="0"/>
          <w:kern w:val="0"/>
          <w:position w:val="0"/>
          <w:sz w:val="24"/>
          <w:szCs w:val="24"/>
          <w:u w:val="none"/>
          <w:lang w:val="en-US" w:eastAsia="en-US" w:bidi="ar-SA"/>
        </w:rPr>
      </w:pPr>
      <w:r>
        <w:rPr>
          <w:rFonts w:hint="eastAsia" w:ascii="仿宋" w:hAnsi="仿宋" w:eastAsia="仿宋" w:cs="仿宋"/>
          <w:b w:val="0"/>
          <w:bCs w:val="0"/>
          <w:snapToGrid w:val="0"/>
          <w:color w:val="000000"/>
          <w:spacing w:val="0"/>
          <w:kern w:val="0"/>
          <w:position w:val="0"/>
          <w:sz w:val="24"/>
          <w:szCs w:val="24"/>
          <w:u w:val="none"/>
          <w:lang w:val="en-US" w:eastAsia="en-US" w:bidi="ar-SA"/>
        </w:rPr>
        <w:t>表</w:t>
      </w:r>
      <w:r>
        <w:rPr>
          <w:rFonts w:hint="eastAsia" w:ascii="仿宋" w:hAnsi="仿宋" w:eastAsia="仿宋" w:cs="仿宋"/>
          <w:b w:val="0"/>
          <w:bCs w:val="0"/>
          <w:snapToGrid w:val="0"/>
          <w:color w:val="000000"/>
          <w:spacing w:val="0"/>
          <w:kern w:val="0"/>
          <w:position w:val="0"/>
          <w:sz w:val="24"/>
          <w:szCs w:val="24"/>
          <w:u w:val="none"/>
          <w:lang w:val="en-US" w:eastAsia="zh-CN" w:bidi="ar-SA"/>
        </w:rPr>
        <w:t xml:space="preserve">17 </w:t>
      </w:r>
      <w:r>
        <w:rPr>
          <w:rFonts w:hint="eastAsia" w:ascii="仿宋" w:hAnsi="仿宋" w:eastAsia="仿宋" w:cs="仿宋"/>
          <w:b w:val="0"/>
          <w:bCs w:val="0"/>
          <w:snapToGrid w:val="0"/>
          <w:color w:val="000000"/>
          <w:spacing w:val="0"/>
          <w:kern w:val="0"/>
          <w:position w:val="0"/>
          <w:sz w:val="24"/>
          <w:szCs w:val="24"/>
          <w:u w:val="none"/>
          <w:lang w:val="en-US" w:eastAsia="en-US" w:bidi="ar-SA"/>
        </w:rPr>
        <w:t>厂界噪声排放执行标准</w:t>
      </w:r>
    </w:p>
    <w:tbl>
      <w:tblPr>
        <w:tblStyle w:val="31"/>
        <w:tblW w:w="93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0"/>
        <w:gridCol w:w="875"/>
        <w:gridCol w:w="1410"/>
        <w:gridCol w:w="2010"/>
        <w:gridCol w:w="1620"/>
        <w:gridCol w:w="2470"/>
      </w:tblGrid>
      <w:tr w14:paraId="1D1F3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990" w:type="dxa"/>
            <w:vAlign w:val="center"/>
          </w:tcPr>
          <w:p w14:paraId="1E892AC9">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219" w:lineRule="auto"/>
              <w:ind w:leftChars="0"/>
              <w:jc w:val="center"/>
              <w:textAlignment w:val="baseline"/>
              <w:rPr>
                <w:rFonts w:hint="eastAsia" w:ascii="仿宋" w:hAnsi="仿宋" w:eastAsia="仿宋" w:cs="仿宋"/>
                <w:b w:val="0"/>
                <w:bCs w:val="0"/>
                <w:snapToGrid w:val="0"/>
                <w:color w:val="000000"/>
                <w:spacing w:val="0"/>
                <w:kern w:val="0"/>
                <w:position w:val="0"/>
                <w:sz w:val="21"/>
                <w:szCs w:val="21"/>
                <w:u w:val="none"/>
                <w:lang w:val="en-US" w:eastAsia="en-US" w:bidi="ar-SA"/>
              </w:rPr>
            </w:pPr>
            <w:r>
              <w:rPr>
                <w:rFonts w:hint="eastAsia" w:ascii="仿宋" w:hAnsi="仿宋" w:eastAsia="仿宋" w:cs="仿宋"/>
                <w:b w:val="0"/>
                <w:bCs w:val="0"/>
                <w:snapToGrid w:val="0"/>
                <w:color w:val="000000"/>
                <w:spacing w:val="0"/>
                <w:kern w:val="0"/>
                <w:position w:val="0"/>
                <w:sz w:val="21"/>
                <w:szCs w:val="21"/>
                <w:u w:val="none"/>
                <w:lang w:val="en-US" w:eastAsia="en-US" w:bidi="ar-SA"/>
              </w:rPr>
              <w:t>类 别</w:t>
            </w:r>
          </w:p>
        </w:tc>
        <w:tc>
          <w:tcPr>
            <w:tcW w:w="875" w:type="dxa"/>
            <w:vAlign w:val="center"/>
          </w:tcPr>
          <w:p w14:paraId="79447786">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219" w:lineRule="auto"/>
              <w:ind w:leftChars="0"/>
              <w:jc w:val="center"/>
              <w:textAlignment w:val="baseline"/>
              <w:rPr>
                <w:rFonts w:hint="eastAsia" w:ascii="仿宋" w:hAnsi="仿宋" w:eastAsia="仿宋" w:cs="仿宋"/>
                <w:b w:val="0"/>
                <w:bCs w:val="0"/>
                <w:snapToGrid w:val="0"/>
                <w:color w:val="000000"/>
                <w:spacing w:val="0"/>
                <w:kern w:val="0"/>
                <w:position w:val="0"/>
                <w:sz w:val="21"/>
                <w:szCs w:val="21"/>
                <w:u w:val="none"/>
                <w:lang w:val="en-US" w:eastAsia="en-US" w:bidi="ar-SA"/>
              </w:rPr>
            </w:pPr>
            <w:r>
              <w:rPr>
                <w:rFonts w:hint="eastAsia" w:ascii="仿宋" w:hAnsi="仿宋" w:eastAsia="仿宋" w:cs="仿宋"/>
                <w:b w:val="0"/>
                <w:bCs w:val="0"/>
                <w:snapToGrid w:val="0"/>
                <w:color w:val="000000"/>
                <w:spacing w:val="0"/>
                <w:kern w:val="0"/>
                <w:position w:val="0"/>
                <w:sz w:val="21"/>
                <w:szCs w:val="21"/>
                <w:u w:val="none"/>
                <w:lang w:val="en-US" w:eastAsia="en-US" w:bidi="ar-SA"/>
              </w:rPr>
              <w:t>序号</w:t>
            </w:r>
          </w:p>
        </w:tc>
        <w:tc>
          <w:tcPr>
            <w:tcW w:w="1410" w:type="dxa"/>
            <w:vAlign w:val="center"/>
          </w:tcPr>
          <w:p w14:paraId="416ACED1">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219" w:lineRule="auto"/>
              <w:ind w:leftChars="0"/>
              <w:jc w:val="center"/>
              <w:textAlignment w:val="baseline"/>
              <w:rPr>
                <w:rFonts w:hint="eastAsia" w:ascii="仿宋" w:hAnsi="仿宋" w:eastAsia="仿宋" w:cs="仿宋"/>
                <w:b w:val="0"/>
                <w:bCs w:val="0"/>
                <w:snapToGrid w:val="0"/>
                <w:color w:val="000000"/>
                <w:spacing w:val="0"/>
                <w:kern w:val="0"/>
                <w:position w:val="0"/>
                <w:sz w:val="21"/>
                <w:szCs w:val="21"/>
                <w:u w:val="none"/>
                <w:lang w:val="en-US" w:eastAsia="en-US" w:bidi="ar-SA"/>
              </w:rPr>
            </w:pPr>
            <w:r>
              <w:rPr>
                <w:rFonts w:hint="eastAsia" w:ascii="仿宋" w:hAnsi="仿宋" w:eastAsia="仿宋" w:cs="仿宋"/>
                <w:b w:val="0"/>
                <w:bCs w:val="0"/>
                <w:snapToGrid w:val="0"/>
                <w:color w:val="000000"/>
                <w:spacing w:val="0"/>
                <w:kern w:val="0"/>
                <w:position w:val="0"/>
                <w:sz w:val="21"/>
                <w:szCs w:val="21"/>
                <w:u w:val="none"/>
                <w:lang w:val="en-US" w:eastAsia="en-US" w:bidi="ar-SA"/>
              </w:rPr>
              <w:t>监测项目</w:t>
            </w:r>
          </w:p>
        </w:tc>
        <w:tc>
          <w:tcPr>
            <w:tcW w:w="2010" w:type="dxa"/>
            <w:vAlign w:val="center"/>
          </w:tcPr>
          <w:p w14:paraId="2BC1A9BC">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219" w:lineRule="auto"/>
              <w:ind w:leftChars="0"/>
              <w:jc w:val="center"/>
              <w:textAlignment w:val="baseline"/>
              <w:rPr>
                <w:rFonts w:hint="eastAsia" w:ascii="仿宋" w:hAnsi="仿宋" w:eastAsia="仿宋" w:cs="仿宋"/>
                <w:b w:val="0"/>
                <w:bCs w:val="0"/>
                <w:snapToGrid w:val="0"/>
                <w:color w:val="000000"/>
                <w:spacing w:val="0"/>
                <w:kern w:val="0"/>
                <w:position w:val="0"/>
                <w:sz w:val="21"/>
                <w:szCs w:val="21"/>
                <w:u w:val="none"/>
                <w:lang w:val="en-US" w:eastAsia="en-US" w:bidi="ar-SA"/>
              </w:rPr>
            </w:pPr>
            <w:r>
              <w:rPr>
                <w:rFonts w:hint="eastAsia" w:ascii="仿宋" w:hAnsi="仿宋" w:eastAsia="仿宋" w:cs="仿宋"/>
                <w:b w:val="0"/>
                <w:bCs w:val="0"/>
                <w:snapToGrid w:val="0"/>
                <w:color w:val="000000"/>
                <w:spacing w:val="0"/>
                <w:kern w:val="0"/>
                <w:position w:val="0"/>
                <w:sz w:val="21"/>
                <w:szCs w:val="21"/>
                <w:u w:val="none"/>
                <w:lang w:val="en-US" w:eastAsia="en-US" w:bidi="ar-SA"/>
              </w:rPr>
              <w:t>监测点位</w:t>
            </w:r>
          </w:p>
        </w:tc>
        <w:tc>
          <w:tcPr>
            <w:tcW w:w="1620" w:type="dxa"/>
            <w:vAlign w:val="center"/>
          </w:tcPr>
          <w:p w14:paraId="2145A0AA">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219" w:lineRule="auto"/>
              <w:ind w:leftChars="0"/>
              <w:jc w:val="center"/>
              <w:textAlignment w:val="baseline"/>
              <w:rPr>
                <w:rFonts w:hint="eastAsia" w:ascii="仿宋" w:hAnsi="仿宋" w:eastAsia="仿宋" w:cs="仿宋"/>
                <w:b w:val="0"/>
                <w:bCs w:val="0"/>
                <w:snapToGrid w:val="0"/>
                <w:color w:val="000000"/>
                <w:spacing w:val="0"/>
                <w:kern w:val="0"/>
                <w:position w:val="0"/>
                <w:sz w:val="21"/>
                <w:szCs w:val="21"/>
                <w:u w:val="none"/>
                <w:lang w:val="en-US" w:eastAsia="en-US" w:bidi="ar-SA"/>
              </w:rPr>
            </w:pPr>
            <w:r>
              <w:rPr>
                <w:rFonts w:hint="eastAsia" w:ascii="仿宋" w:hAnsi="仿宋" w:eastAsia="仿宋" w:cs="仿宋"/>
                <w:b w:val="0"/>
                <w:bCs w:val="0"/>
                <w:snapToGrid w:val="0"/>
                <w:color w:val="000000"/>
                <w:spacing w:val="0"/>
                <w:kern w:val="0"/>
                <w:position w:val="0"/>
                <w:sz w:val="21"/>
                <w:szCs w:val="21"/>
                <w:u w:val="none"/>
                <w:lang w:val="en-US" w:eastAsia="en-US" w:bidi="ar-SA"/>
              </w:rPr>
              <w:t>执行标准限值dB(A)</w:t>
            </w:r>
          </w:p>
        </w:tc>
        <w:tc>
          <w:tcPr>
            <w:tcW w:w="2470" w:type="dxa"/>
            <w:vAlign w:val="center"/>
          </w:tcPr>
          <w:p w14:paraId="501AD632">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219" w:lineRule="auto"/>
              <w:ind w:leftChars="0"/>
              <w:jc w:val="center"/>
              <w:textAlignment w:val="baseline"/>
              <w:rPr>
                <w:rFonts w:hint="eastAsia" w:ascii="仿宋" w:hAnsi="仿宋" w:eastAsia="仿宋" w:cs="仿宋"/>
                <w:b w:val="0"/>
                <w:bCs w:val="0"/>
                <w:snapToGrid w:val="0"/>
                <w:color w:val="000000"/>
                <w:spacing w:val="0"/>
                <w:kern w:val="0"/>
                <w:position w:val="0"/>
                <w:sz w:val="21"/>
                <w:szCs w:val="21"/>
                <w:u w:val="none"/>
                <w:lang w:val="en-US" w:eastAsia="en-US" w:bidi="ar-SA"/>
              </w:rPr>
            </w:pPr>
            <w:r>
              <w:rPr>
                <w:rFonts w:hint="eastAsia" w:ascii="仿宋" w:hAnsi="仿宋" w:eastAsia="仿宋" w:cs="仿宋"/>
                <w:b w:val="0"/>
                <w:bCs w:val="0"/>
                <w:snapToGrid w:val="0"/>
                <w:color w:val="000000"/>
                <w:spacing w:val="0"/>
                <w:kern w:val="0"/>
                <w:position w:val="0"/>
                <w:sz w:val="21"/>
                <w:szCs w:val="21"/>
                <w:u w:val="none"/>
                <w:lang w:val="en-US" w:eastAsia="en-US" w:bidi="ar-SA"/>
              </w:rPr>
              <w:t>执行标准</w:t>
            </w:r>
          </w:p>
        </w:tc>
      </w:tr>
      <w:tr w14:paraId="2FD59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jc w:val="center"/>
        </w:trPr>
        <w:tc>
          <w:tcPr>
            <w:tcW w:w="990" w:type="dxa"/>
            <w:vMerge w:val="restart"/>
            <w:tcBorders>
              <w:bottom w:val="nil"/>
            </w:tcBorders>
            <w:vAlign w:val="center"/>
          </w:tcPr>
          <w:p w14:paraId="4C4C5AE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lang w:val="en-US" w:eastAsia="en-US"/>
              </w:rPr>
            </w:pPr>
            <w:r>
              <w:rPr>
                <w:rFonts w:hint="eastAsia" w:ascii="仿宋" w:hAnsi="仿宋" w:eastAsia="仿宋" w:cs="仿宋"/>
                <w:b w:val="0"/>
                <w:bCs w:val="0"/>
                <w:spacing w:val="0"/>
                <w:sz w:val="21"/>
                <w:szCs w:val="21"/>
                <w:u w:val="none"/>
                <w:lang w:val="en-US" w:eastAsia="en-US"/>
              </w:rPr>
              <w:t>厂界噪声</w:t>
            </w:r>
          </w:p>
        </w:tc>
        <w:tc>
          <w:tcPr>
            <w:tcW w:w="875" w:type="dxa"/>
            <w:vAlign w:val="center"/>
          </w:tcPr>
          <w:p w14:paraId="22AFECBD">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lang w:val="en-US" w:eastAsia="en-US"/>
              </w:rPr>
            </w:pPr>
            <w:r>
              <w:rPr>
                <w:rFonts w:hint="eastAsia" w:ascii="仿宋" w:hAnsi="仿宋" w:eastAsia="仿宋" w:cs="仿宋"/>
                <w:b w:val="0"/>
                <w:bCs w:val="0"/>
                <w:spacing w:val="0"/>
                <w:sz w:val="21"/>
                <w:szCs w:val="21"/>
                <w:u w:val="none"/>
                <w:lang w:val="en-US" w:eastAsia="en-US"/>
              </w:rPr>
              <w:t>1</w:t>
            </w:r>
          </w:p>
        </w:tc>
        <w:tc>
          <w:tcPr>
            <w:tcW w:w="1410" w:type="dxa"/>
            <w:vMerge w:val="restart"/>
            <w:tcBorders>
              <w:bottom w:val="nil"/>
            </w:tcBorders>
            <w:vAlign w:val="center"/>
          </w:tcPr>
          <w:p w14:paraId="0DD6096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lang w:val="en-US" w:eastAsia="en-US"/>
              </w:rPr>
            </w:pPr>
            <w:r>
              <w:rPr>
                <w:rFonts w:hint="eastAsia" w:ascii="仿宋" w:hAnsi="仿宋" w:eastAsia="仿宋" w:cs="仿宋"/>
                <w:b w:val="0"/>
                <w:bCs w:val="0"/>
                <w:spacing w:val="0"/>
                <w:sz w:val="21"/>
                <w:szCs w:val="21"/>
                <w:u w:val="none"/>
                <w:lang w:val="en-US" w:eastAsia="en-US"/>
              </w:rPr>
              <w:t>厂界噪声</w:t>
            </w:r>
          </w:p>
        </w:tc>
        <w:tc>
          <w:tcPr>
            <w:tcW w:w="2010" w:type="dxa"/>
            <w:vAlign w:val="center"/>
          </w:tcPr>
          <w:p w14:paraId="19395A4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lang w:val="en-US" w:eastAsia="en-US"/>
              </w:rPr>
            </w:pPr>
            <w:r>
              <w:rPr>
                <w:rFonts w:hint="eastAsia" w:ascii="仿宋" w:hAnsi="仿宋" w:eastAsia="仿宋" w:cs="仿宋"/>
                <w:b w:val="0"/>
                <w:bCs w:val="0"/>
                <w:spacing w:val="0"/>
                <w:sz w:val="21"/>
                <w:szCs w:val="21"/>
                <w:u w:val="none"/>
                <w:lang w:val="en-US" w:eastAsia="en-US"/>
              </w:rPr>
              <w:t>厂界东侧</w:t>
            </w:r>
          </w:p>
        </w:tc>
        <w:tc>
          <w:tcPr>
            <w:tcW w:w="1620" w:type="dxa"/>
            <w:vMerge w:val="restart"/>
            <w:tcBorders>
              <w:bottom w:val="nil"/>
            </w:tcBorders>
            <w:vAlign w:val="center"/>
          </w:tcPr>
          <w:p w14:paraId="4FAE5B7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仿宋" w:hAnsi="仿宋" w:eastAsia="仿宋" w:cs="仿宋"/>
                <w:b w:val="0"/>
                <w:bCs w:val="0"/>
                <w:spacing w:val="0"/>
                <w:sz w:val="21"/>
                <w:szCs w:val="21"/>
                <w:u w:val="none"/>
                <w:lang w:val="en-US" w:eastAsia="zh-CN"/>
              </w:rPr>
            </w:pPr>
            <w:r>
              <w:rPr>
                <w:rFonts w:hint="eastAsia" w:ascii="仿宋" w:hAnsi="仿宋" w:eastAsia="仿宋" w:cs="仿宋"/>
                <w:b w:val="0"/>
                <w:bCs w:val="0"/>
                <w:spacing w:val="0"/>
                <w:sz w:val="21"/>
                <w:szCs w:val="21"/>
                <w:u w:val="none"/>
                <w:lang w:val="en-US" w:eastAsia="en-US"/>
              </w:rPr>
              <w:t>昼间：</w:t>
            </w:r>
            <w:r>
              <w:rPr>
                <w:rFonts w:hint="eastAsia" w:ascii="仿宋" w:hAnsi="仿宋" w:eastAsia="仿宋" w:cs="仿宋"/>
                <w:b w:val="0"/>
                <w:bCs w:val="0"/>
                <w:spacing w:val="0"/>
                <w:sz w:val="21"/>
                <w:szCs w:val="21"/>
                <w:u w:val="none"/>
                <w:lang w:val="en-US" w:eastAsia="zh-CN"/>
              </w:rPr>
              <w:t>60</w:t>
            </w:r>
          </w:p>
          <w:p w14:paraId="24DDF81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仿宋" w:hAnsi="仿宋" w:eastAsia="仿宋" w:cs="仿宋"/>
                <w:b w:val="0"/>
                <w:bCs w:val="0"/>
                <w:spacing w:val="0"/>
                <w:sz w:val="21"/>
                <w:szCs w:val="21"/>
                <w:u w:val="none"/>
                <w:lang w:val="en-US" w:eastAsia="zh-CN"/>
              </w:rPr>
            </w:pPr>
            <w:r>
              <w:rPr>
                <w:rFonts w:hint="eastAsia" w:ascii="仿宋" w:hAnsi="仿宋" w:eastAsia="仿宋" w:cs="仿宋"/>
                <w:b w:val="0"/>
                <w:bCs w:val="0"/>
                <w:spacing w:val="0"/>
                <w:sz w:val="21"/>
                <w:szCs w:val="21"/>
                <w:u w:val="none"/>
                <w:lang w:val="en-US" w:eastAsia="en-US"/>
              </w:rPr>
              <w:t>夜间：</w:t>
            </w:r>
            <w:r>
              <w:rPr>
                <w:rFonts w:hint="eastAsia" w:ascii="仿宋" w:hAnsi="仿宋" w:eastAsia="仿宋" w:cs="仿宋"/>
                <w:b w:val="0"/>
                <w:bCs w:val="0"/>
                <w:spacing w:val="0"/>
                <w:sz w:val="21"/>
                <w:szCs w:val="21"/>
                <w:u w:val="none"/>
                <w:lang w:val="en-US" w:eastAsia="zh-CN"/>
              </w:rPr>
              <w:t>50</w:t>
            </w:r>
          </w:p>
        </w:tc>
        <w:tc>
          <w:tcPr>
            <w:tcW w:w="2470" w:type="dxa"/>
            <w:vMerge w:val="restart"/>
            <w:tcBorders>
              <w:bottom w:val="nil"/>
            </w:tcBorders>
            <w:vAlign w:val="center"/>
          </w:tcPr>
          <w:p w14:paraId="067C14E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lang w:val="en-US" w:eastAsia="en-US"/>
              </w:rPr>
            </w:pPr>
            <w:r>
              <w:rPr>
                <w:rFonts w:hint="eastAsia" w:ascii="仿宋" w:hAnsi="仿宋" w:eastAsia="仿宋" w:cs="仿宋"/>
                <w:b w:val="0"/>
                <w:bCs w:val="0"/>
                <w:spacing w:val="0"/>
                <w:sz w:val="21"/>
                <w:szCs w:val="21"/>
                <w:u w:val="none"/>
                <w:lang w:val="en-US" w:eastAsia="en-US"/>
              </w:rPr>
              <w:t>《工业企业厂界环境噪 声排放标准》(GB12348-2008)</w:t>
            </w:r>
            <w:r>
              <w:rPr>
                <w:rFonts w:hint="eastAsia" w:ascii="仿宋" w:hAnsi="仿宋" w:eastAsia="仿宋" w:cs="仿宋"/>
                <w:b w:val="0"/>
                <w:bCs w:val="0"/>
                <w:spacing w:val="0"/>
                <w:sz w:val="21"/>
                <w:szCs w:val="21"/>
                <w:u w:val="none"/>
                <w:lang w:val="en-US" w:eastAsia="zh-CN"/>
              </w:rPr>
              <w:t>2</w:t>
            </w:r>
            <w:r>
              <w:rPr>
                <w:rFonts w:hint="eastAsia" w:ascii="仿宋" w:hAnsi="仿宋" w:eastAsia="仿宋" w:cs="仿宋"/>
                <w:b w:val="0"/>
                <w:bCs w:val="0"/>
                <w:spacing w:val="0"/>
                <w:sz w:val="21"/>
                <w:szCs w:val="21"/>
                <w:u w:val="none"/>
                <w:lang w:val="en-US" w:eastAsia="en-US"/>
              </w:rPr>
              <w:t>类</w:t>
            </w:r>
          </w:p>
        </w:tc>
      </w:tr>
      <w:tr w14:paraId="6A5C9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jc w:val="center"/>
        </w:trPr>
        <w:tc>
          <w:tcPr>
            <w:tcW w:w="990" w:type="dxa"/>
            <w:vMerge w:val="continue"/>
            <w:tcBorders>
              <w:top w:val="nil"/>
              <w:bottom w:val="nil"/>
            </w:tcBorders>
            <w:textDirection w:val="tbRlV"/>
            <w:vAlign w:val="center"/>
          </w:tcPr>
          <w:p w14:paraId="35AEA20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lang w:val="en-US" w:eastAsia="en-US"/>
              </w:rPr>
            </w:pPr>
          </w:p>
        </w:tc>
        <w:tc>
          <w:tcPr>
            <w:tcW w:w="875" w:type="dxa"/>
            <w:vAlign w:val="center"/>
          </w:tcPr>
          <w:p w14:paraId="65E7262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lang w:val="en-US" w:eastAsia="en-US"/>
              </w:rPr>
            </w:pPr>
            <w:r>
              <w:rPr>
                <w:rFonts w:hint="eastAsia" w:ascii="仿宋" w:hAnsi="仿宋" w:eastAsia="仿宋" w:cs="仿宋"/>
                <w:b w:val="0"/>
                <w:bCs w:val="0"/>
                <w:spacing w:val="0"/>
                <w:sz w:val="21"/>
                <w:szCs w:val="21"/>
                <w:u w:val="none"/>
                <w:lang w:val="en-US" w:eastAsia="en-US"/>
              </w:rPr>
              <w:t>2</w:t>
            </w:r>
          </w:p>
        </w:tc>
        <w:tc>
          <w:tcPr>
            <w:tcW w:w="1410" w:type="dxa"/>
            <w:vMerge w:val="continue"/>
            <w:tcBorders>
              <w:top w:val="nil"/>
              <w:bottom w:val="nil"/>
            </w:tcBorders>
            <w:vAlign w:val="center"/>
          </w:tcPr>
          <w:p w14:paraId="081B912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lang w:val="en-US" w:eastAsia="en-US"/>
              </w:rPr>
            </w:pPr>
          </w:p>
        </w:tc>
        <w:tc>
          <w:tcPr>
            <w:tcW w:w="2010" w:type="dxa"/>
            <w:vAlign w:val="center"/>
          </w:tcPr>
          <w:p w14:paraId="295737F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lang w:val="en-US" w:eastAsia="en-US"/>
              </w:rPr>
            </w:pPr>
            <w:r>
              <w:rPr>
                <w:rFonts w:hint="eastAsia" w:ascii="仿宋" w:hAnsi="仿宋" w:eastAsia="仿宋" w:cs="仿宋"/>
                <w:b w:val="0"/>
                <w:bCs w:val="0"/>
                <w:spacing w:val="0"/>
                <w:sz w:val="21"/>
                <w:szCs w:val="21"/>
                <w:u w:val="none"/>
                <w:lang w:val="en-US" w:eastAsia="en-US"/>
              </w:rPr>
              <w:t>厂界南侧</w:t>
            </w:r>
          </w:p>
        </w:tc>
        <w:tc>
          <w:tcPr>
            <w:tcW w:w="1620" w:type="dxa"/>
            <w:vMerge w:val="continue"/>
            <w:tcBorders>
              <w:top w:val="nil"/>
              <w:bottom w:val="nil"/>
            </w:tcBorders>
            <w:vAlign w:val="center"/>
          </w:tcPr>
          <w:p w14:paraId="57A6C08D">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219" w:lineRule="auto"/>
              <w:ind w:leftChars="0"/>
              <w:jc w:val="center"/>
              <w:textAlignment w:val="baseline"/>
              <w:rPr>
                <w:rFonts w:hint="eastAsia" w:ascii="仿宋" w:hAnsi="仿宋" w:eastAsia="仿宋" w:cs="仿宋"/>
                <w:b w:val="0"/>
                <w:bCs w:val="0"/>
                <w:snapToGrid w:val="0"/>
                <w:color w:val="000000"/>
                <w:spacing w:val="0"/>
                <w:kern w:val="0"/>
                <w:position w:val="0"/>
                <w:sz w:val="21"/>
                <w:szCs w:val="21"/>
                <w:u w:val="none"/>
                <w:lang w:val="en-US" w:eastAsia="en-US" w:bidi="ar-SA"/>
              </w:rPr>
            </w:pPr>
          </w:p>
        </w:tc>
        <w:tc>
          <w:tcPr>
            <w:tcW w:w="2470" w:type="dxa"/>
            <w:vMerge w:val="continue"/>
            <w:tcBorders>
              <w:top w:val="nil"/>
              <w:bottom w:val="nil"/>
            </w:tcBorders>
            <w:vAlign w:val="center"/>
          </w:tcPr>
          <w:p w14:paraId="3BCEB158">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219" w:lineRule="auto"/>
              <w:ind w:leftChars="0"/>
              <w:jc w:val="center"/>
              <w:textAlignment w:val="baseline"/>
              <w:rPr>
                <w:rFonts w:hint="eastAsia" w:ascii="仿宋" w:hAnsi="仿宋" w:eastAsia="仿宋" w:cs="仿宋"/>
                <w:b w:val="0"/>
                <w:bCs w:val="0"/>
                <w:snapToGrid w:val="0"/>
                <w:color w:val="000000"/>
                <w:spacing w:val="0"/>
                <w:kern w:val="0"/>
                <w:position w:val="0"/>
                <w:sz w:val="21"/>
                <w:szCs w:val="21"/>
                <w:u w:val="none"/>
                <w:lang w:val="en-US" w:eastAsia="en-US" w:bidi="ar-SA"/>
              </w:rPr>
            </w:pPr>
          </w:p>
        </w:tc>
      </w:tr>
      <w:tr w14:paraId="76907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jc w:val="center"/>
        </w:trPr>
        <w:tc>
          <w:tcPr>
            <w:tcW w:w="990" w:type="dxa"/>
            <w:vMerge w:val="continue"/>
            <w:tcBorders>
              <w:top w:val="nil"/>
              <w:bottom w:val="nil"/>
            </w:tcBorders>
            <w:textDirection w:val="tbRlV"/>
            <w:vAlign w:val="center"/>
          </w:tcPr>
          <w:p w14:paraId="729ECCD0">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lang w:val="en-US" w:eastAsia="en-US"/>
              </w:rPr>
            </w:pPr>
          </w:p>
        </w:tc>
        <w:tc>
          <w:tcPr>
            <w:tcW w:w="875" w:type="dxa"/>
            <w:vAlign w:val="center"/>
          </w:tcPr>
          <w:p w14:paraId="0042B1CD">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lang w:val="en-US" w:eastAsia="en-US"/>
              </w:rPr>
            </w:pPr>
            <w:r>
              <w:rPr>
                <w:rFonts w:hint="eastAsia" w:ascii="仿宋" w:hAnsi="仿宋" w:eastAsia="仿宋" w:cs="仿宋"/>
                <w:b w:val="0"/>
                <w:bCs w:val="0"/>
                <w:spacing w:val="0"/>
                <w:sz w:val="21"/>
                <w:szCs w:val="21"/>
                <w:u w:val="none"/>
                <w:lang w:val="en-US" w:eastAsia="en-US"/>
              </w:rPr>
              <w:t>3</w:t>
            </w:r>
          </w:p>
        </w:tc>
        <w:tc>
          <w:tcPr>
            <w:tcW w:w="1410" w:type="dxa"/>
            <w:vMerge w:val="continue"/>
            <w:tcBorders>
              <w:top w:val="nil"/>
              <w:bottom w:val="nil"/>
            </w:tcBorders>
            <w:vAlign w:val="center"/>
          </w:tcPr>
          <w:p w14:paraId="09F78BC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lang w:val="en-US" w:eastAsia="en-US"/>
              </w:rPr>
            </w:pPr>
          </w:p>
        </w:tc>
        <w:tc>
          <w:tcPr>
            <w:tcW w:w="2010" w:type="dxa"/>
            <w:vAlign w:val="center"/>
          </w:tcPr>
          <w:p w14:paraId="4ADBADE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lang w:val="en-US" w:eastAsia="en-US"/>
              </w:rPr>
            </w:pPr>
            <w:r>
              <w:rPr>
                <w:rFonts w:hint="eastAsia" w:ascii="仿宋" w:hAnsi="仿宋" w:eastAsia="仿宋" w:cs="仿宋"/>
                <w:b w:val="0"/>
                <w:bCs w:val="0"/>
                <w:spacing w:val="0"/>
                <w:sz w:val="21"/>
                <w:szCs w:val="21"/>
                <w:u w:val="none"/>
                <w:lang w:val="en-US" w:eastAsia="en-US"/>
              </w:rPr>
              <w:t>厂界北侧</w:t>
            </w:r>
          </w:p>
        </w:tc>
        <w:tc>
          <w:tcPr>
            <w:tcW w:w="1620" w:type="dxa"/>
            <w:vMerge w:val="continue"/>
            <w:tcBorders>
              <w:top w:val="nil"/>
              <w:bottom w:val="nil"/>
            </w:tcBorders>
            <w:vAlign w:val="center"/>
          </w:tcPr>
          <w:p w14:paraId="4B0E4F53">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219" w:lineRule="auto"/>
              <w:ind w:leftChars="0"/>
              <w:jc w:val="center"/>
              <w:textAlignment w:val="baseline"/>
              <w:rPr>
                <w:rFonts w:hint="eastAsia" w:ascii="仿宋" w:hAnsi="仿宋" w:eastAsia="仿宋" w:cs="仿宋"/>
                <w:b w:val="0"/>
                <w:bCs w:val="0"/>
                <w:snapToGrid w:val="0"/>
                <w:color w:val="000000"/>
                <w:spacing w:val="0"/>
                <w:kern w:val="0"/>
                <w:position w:val="0"/>
                <w:sz w:val="21"/>
                <w:szCs w:val="21"/>
                <w:u w:val="none"/>
                <w:lang w:val="en-US" w:eastAsia="en-US" w:bidi="ar-SA"/>
              </w:rPr>
            </w:pPr>
          </w:p>
        </w:tc>
        <w:tc>
          <w:tcPr>
            <w:tcW w:w="2470" w:type="dxa"/>
            <w:vMerge w:val="continue"/>
            <w:tcBorders>
              <w:top w:val="nil"/>
              <w:bottom w:val="nil"/>
            </w:tcBorders>
            <w:vAlign w:val="center"/>
          </w:tcPr>
          <w:p w14:paraId="16E04CD8">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219" w:lineRule="auto"/>
              <w:ind w:leftChars="0"/>
              <w:jc w:val="center"/>
              <w:textAlignment w:val="baseline"/>
              <w:rPr>
                <w:rFonts w:hint="eastAsia" w:ascii="仿宋" w:hAnsi="仿宋" w:eastAsia="仿宋" w:cs="仿宋"/>
                <w:b w:val="0"/>
                <w:bCs w:val="0"/>
                <w:snapToGrid w:val="0"/>
                <w:color w:val="000000"/>
                <w:spacing w:val="0"/>
                <w:kern w:val="0"/>
                <w:position w:val="0"/>
                <w:sz w:val="21"/>
                <w:szCs w:val="21"/>
                <w:u w:val="none"/>
                <w:lang w:val="en-US" w:eastAsia="en-US" w:bidi="ar-SA"/>
              </w:rPr>
            </w:pPr>
          </w:p>
        </w:tc>
      </w:tr>
      <w:tr w14:paraId="0B045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990" w:type="dxa"/>
            <w:vMerge w:val="continue"/>
            <w:tcBorders>
              <w:top w:val="nil"/>
            </w:tcBorders>
            <w:textDirection w:val="tbRlV"/>
            <w:vAlign w:val="center"/>
          </w:tcPr>
          <w:p w14:paraId="1FE9093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lang w:val="en-US" w:eastAsia="en-US"/>
              </w:rPr>
            </w:pPr>
          </w:p>
        </w:tc>
        <w:tc>
          <w:tcPr>
            <w:tcW w:w="875" w:type="dxa"/>
            <w:vAlign w:val="center"/>
          </w:tcPr>
          <w:p w14:paraId="7B3C347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lang w:val="en-US" w:eastAsia="en-US"/>
              </w:rPr>
            </w:pPr>
            <w:r>
              <w:rPr>
                <w:rFonts w:hint="eastAsia" w:ascii="仿宋" w:hAnsi="仿宋" w:eastAsia="仿宋" w:cs="仿宋"/>
                <w:b w:val="0"/>
                <w:bCs w:val="0"/>
                <w:spacing w:val="0"/>
                <w:sz w:val="21"/>
                <w:szCs w:val="21"/>
                <w:u w:val="none"/>
                <w:lang w:val="en-US" w:eastAsia="en-US"/>
              </w:rPr>
              <w:t>4</w:t>
            </w:r>
          </w:p>
        </w:tc>
        <w:tc>
          <w:tcPr>
            <w:tcW w:w="1410" w:type="dxa"/>
            <w:vMerge w:val="continue"/>
            <w:tcBorders>
              <w:top w:val="nil"/>
            </w:tcBorders>
            <w:vAlign w:val="center"/>
          </w:tcPr>
          <w:p w14:paraId="69E2776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lang w:val="en-US" w:eastAsia="en-US"/>
              </w:rPr>
            </w:pPr>
          </w:p>
        </w:tc>
        <w:tc>
          <w:tcPr>
            <w:tcW w:w="2010" w:type="dxa"/>
            <w:vAlign w:val="center"/>
          </w:tcPr>
          <w:p w14:paraId="540FC12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lang w:val="en-US" w:eastAsia="en-US"/>
              </w:rPr>
            </w:pPr>
            <w:r>
              <w:rPr>
                <w:rFonts w:hint="eastAsia" w:ascii="仿宋" w:hAnsi="仿宋" w:eastAsia="仿宋" w:cs="仿宋"/>
                <w:b w:val="0"/>
                <w:bCs w:val="0"/>
                <w:spacing w:val="0"/>
                <w:sz w:val="21"/>
                <w:szCs w:val="21"/>
                <w:u w:val="none"/>
                <w:lang w:val="en-US" w:eastAsia="en-US"/>
              </w:rPr>
              <w:t>厂界西侧</w:t>
            </w:r>
          </w:p>
        </w:tc>
        <w:tc>
          <w:tcPr>
            <w:tcW w:w="1620" w:type="dxa"/>
            <w:vMerge w:val="continue"/>
            <w:tcBorders>
              <w:top w:val="nil"/>
            </w:tcBorders>
            <w:vAlign w:val="center"/>
          </w:tcPr>
          <w:p w14:paraId="74EBA2B1">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219" w:lineRule="auto"/>
              <w:ind w:leftChars="0"/>
              <w:jc w:val="center"/>
              <w:textAlignment w:val="baseline"/>
              <w:rPr>
                <w:rFonts w:hint="eastAsia" w:ascii="仿宋" w:hAnsi="仿宋" w:eastAsia="仿宋" w:cs="仿宋"/>
                <w:b w:val="0"/>
                <w:bCs w:val="0"/>
                <w:snapToGrid w:val="0"/>
                <w:color w:val="000000"/>
                <w:spacing w:val="0"/>
                <w:kern w:val="0"/>
                <w:position w:val="0"/>
                <w:sz w:val="21"/>
                <w:szCs w:val="21"/>
                <w:u w:val="none"/>
                <w:lang w:val="en-US" w:eastAsia="en-US" w:bidi="ar-SA"/>
              </w:rPr>
            </w:pPr>
          </w:p>
        </w:tc>
        <w:tc>
          <w:tcPr>
            <w:tcW w:w="2470" w:type="dxa"/>
            <w:vMerge w:val="continue"/>
            <w:tcBorders>
              <w:top w:val="nil"/>
            </w:tcBorders>
            <w:vAlign w:val="center"/>
          </w:tcPr>
          <w:p w14:paraId="16F62DD5">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219" w:lineRule="auto"/>
              <w:ind w:leftChars="0"/>
              <w:jc w:val="center"/>
              <w:textAlignment w:val="baseline"/>
              <w:rPr>
                <w:rFonts w:hint="eastAsia" w:ascii="仿宋" w:hAnsi="仿宋" w:eastAsia="仿宋" w:cs="仿宋"/>
                <w:b w:val="0"/>
                <w:bCs w:val="0"/>
                <w:snapToGrid w:val="0"/>
                <w:color w:val="000000"/>
                <w:spacing w:val="0"/>
                <w:kern w:val="0"/>
                <w:position w:val="0"/>
                <w:sz w:val="21"/>
                <w:szCs w:val="21"/>
                <w:u w:val="none"/>
                <w:lang w:val="en-US" w:eastAsia="en-US" w:bidi="ar-SA"/>
              </w:rPr>
            </w:pPr>
          </w:p>
        </w:tc>
      </w:tr>
    </w:tbl>
    <w:p w14:paraId="01DA6E0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15"/>
          <w:sz w:val="24"/>
          <w:szCs w:val="24"/>
          <w:u w:val="none"/>
          <w:lang w:val="en-US" w:eastAsia="zh-CN"/>
        </w:rPr>
      </w:pPr>
      <w:r>
        <w:rPr>
          <w:rFonts w:hint="eastAsia" w:ascii="仿宋" w:hAnsi="仿宋" w:eastAsia="仿宋" w:cs="仿宋"/>
          <w:b w:val="0"/>
          <w:bCs w:val="0"/>
          <w:spacing w:val="15"/>
          <w:sz w:val="24"/>
          <w:szCs w:val="24"/>
          <w:u w:val="none"/>
          <w:lang w:val="en-US" w:eastAsia="zh-CN"/>
        </w:rPr>
        <w:t>4、厂界噪声监测仪器设备</w:t>
      </w:r>
    </w:p>
    <w:p w14:paraId="7896A3F9">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0"/>
        <w:jc w:val="center"/>
        <w:textAlignment w:val="baseline"/>
        <w:rPr>
          <w:rFonts w:hint="eastAsia" w:ascii="仿宋" w:hAnsi="仿宋" w:eastAsia="仿宋" w:cs="仿宋"/>
          <w:b w:val="0"/>
          <w:bCs w:val="0"/>
          <w:snapToGrid w:val="0"/>
          <w:color w:val="000000"/>
          <w:spacing w:val="0"/>
          <w:kern w:val="0"/>
          <w:position w:val="0"/>
          <w:sz w:val="24"/>
          <w:szCs w:val="24"/>
          <w:u w:val="none"/>
          <w:lang w:val="en-US" w:eastAsia="en-US" w:bidi="ar-SA"/>
        </w:rPr>
      </w:pPr>
      <w:r>
        <w:rPr>
          <w:rFonts w:hint="eastAsia" w:ascii="仿宋" w:hAnsi="仿宋" w:eastAsia="仿宋" w:cs="仿宋"/>
          <w:b w:val="0"/>
          <w:bCs w:val="0"/>
          <w:snapToGrid w:val="0"/>
          <w:color w:val="000000"/>
          <w:spacing w:val="0"/>
          <w:kern w:val="0"/>
          <w:position w:val="0"/>
          <w:sz w:val="24"/>
          <w:szCs w:val="24"/>
          <w:u w:val="none"/>
          <w:lang w:val="en-US" w:eastAsia="en-US" w:bidi="ar-SA"/>
        </w:rPr>
        <w:t>表18</w:t>
      </w:r>
      <w:r>
        <w:rPr>
          <w:rFonts w:hint="eastAsia" w:ascii="仿宋" w:hAnsi="仿宋" w:eastAsia="仿宋" w:cs="仿宋"/>
          <w:b w:val="0"/>
          <w:bCs w:val="0"/>
          <w:snapToGrid w:val="0"/>
          <w:color w:val="000000"/>
          <w:spacing w:val="0"/>
          <w:kern w:val="0"/>
          <w:position w:val="0"/>
          <w:sz w:val="24"/>
          <w:szCs w:val="24"/>
          <w:u w:val="none"/>
          <w:lang w:val="en-US" w:eastAsia="zh-CN" w:bidi="ar-SA"/>
        </w:rPr>
        <w:t xml:space="preserve"> </w:t>
      </w:r>
      <w:r>
        <w:rPr>
          <w:rFonts w:hint="eastAsia" w:ascii="仿宋" w:hAnsi="仿宋" w:eastAsia="仿宋" w:cs="仿宋"/>
          <w:b w:val="0"/>
          <w:bCs w:val="0"/>
          <w:snapToGrid w:val="0"/>
          <w:color w:val="000000"/>
          <w:spacing w:val="0"/>
          <w:kern w:val="0"/>
          <w:position w:val="0"/>
          <w:sz w:val="24"/>
          <w:szCs w:val="24"/>
          <w:u w:val="none"/>
          <w:lang w:val="en-US" w:eastAsia="en-US" w:bidi="ar-SA"/>
        </w:rPr>
        <w:t>厂界噪声监测仪器设备表</w:t>
      </w:r>
    </w:p>
    <w:p w14:paraId="6B021BBB">
      <w:pPr>
        <w:spacing w:line="28" w:lineRule="exact"/>
        <w:rPr>
          <w:rFonts w:hint="eastAsia" w:ascii="仿宋" w:hAnsi="仿宋" w:eastAsia="仿宋" w:cs="仿宋"/>
          <w:b w:val="0"/>
          <w:bCs w:val="0"/>
          <w:u w:val="none"/>
        </w:rPr>
      </w:pPr>
    </w:p>
    <w:tbl>
      <w:tblPr>
        <w:tblStyle w:val="31"/>
        <w:tblW w:w="93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40"/>
        <w:gridCol w:w="3266"/>
        <w:gridCol w:w="3169"/>
      </w:tblGrid>
      <w:tr w14:paraId="5B686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2940" w:type="dxa"/>
            <w:vAlign w:val="center"/>
          </w:tcPr>
          <w:p w14:paraId="793746D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监测项目</w:t>
            </w:r>
          </w:p>
        </w:tc>
        <w:tc>
          <w:tcPr>
            <w:tcW w:w="3266" w:type="dxa"/>
            <w:vAlign w:val="center"/>
          </w:tcPr>
          <w:p w14:paraId="41E659E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仪器</w:t>
            </w:r>
          </w:p>
        </w:tc>
        <w:tc>
          <w:tcPr>
            <w:tcW w:w="3169" w:type="dxa"/>
            <w:vAlign w:val="center"/>
          </w:tcPr>
          <w:p w14:paraId="0B913A3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规格型号</w:t>
            </w:r>
          </w:p>
        </w:tc>
      </w:tr>
      <w:tr w14:paraId="7623F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2940" w:type="dxa"/>
            <w:vAlign w:val="center"/>
          </w:tcPr>
          <w:p w14:paraId="472A00B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厂界噪声</w:t>
            </w:r>
          </w:p>
        </w:tc>
        <w:tc>
          <w:tcPr>
            <w:tcW w:w="3266" w:type="dxa"/>
            <w:vAlign w:val="center"/>
          </w:tcPr>
          <w:p w14:paraId="1CB4FAE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多功能声级计</w:t>
            </w:r>
          </w:p>
        </w:tc>
        <w:tc>
          <w:tcPr>
            <w:tcW w:w="3169" w:type="dxa"/>
            <w:vAlign w:val="center"/>
          </w:tcPr>
          <w:p w14:paraId="795001BD">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HS6288B</w:t>
            </w:r>
          </w:p>
        </w:tc>
      </w:tr>
    </w:tbl>
    <w:p w14:paraId="6C730987">
      <w:pPr>
        <w:spacing w:line="360" w:lineRule="auto"/>
        <w:outlineLvl w:val="1"/>
        <w:rPr>
          <w:rFonts w:hint="eastAsia" w:ascii="仿宋" w:hAnsi="仿宋" w:eastAsia="仿宋" w:cs="仿宋"/>
          <w:b w:val="0"/>
          <w:bCs w:val="0"/>
          <w:spacing w:val="-1"/>
          <w:sz w:val="28"/>
          <w:szCs w:val="28"/>
          <w:u w:val="none"/>
          <w:lang w:val="en-US" w:eastAsia="zh-CN"/>
          <w14:textOutline w14:w="5105" w14:cap="sq" w14:cmpd="sng" w14:algn="ctr">
            <w14:solidFill>
              <w14:srgbClr w14:val="000000"/>
            </w14:solidFill>
            <w14:prstDash w14:val="solid"/>
            <w14:bevel/>
          </w14:textOutline>
        </w:rPr>
      </w:pPr>
      <w:r>
        <w:rPr>
          <w:rFonts w:hint="eastAsia" w:ascii="仿宋" w:hAnsi="仿宋" w:eastAsia="仿宋" w:cs="仿宋"/>
          <w:b w:val="0"/>
          <w:bCs w:val="0"/>
          <w:spacing w:val="-1"/>
          <w:sz w:val="28"/>
          <w:szCs w:val="28"/>
          <w:u w:val="none"/>
          <w14:textOutline w14:w="5105" w14:cap="sq" w14:cmpd="sng" w14:algn="ctr">
            <w14:solidFill>
              <w14:srgbClr w14:val="000000"/>
            </w14:solidFill>
            <w14:prstDash w14:val="solid"/>
            <w14:bevel/>
          </w14:textOutline>
        </w:rPr>
        <w:t>(</w:t>
      </w:r>
      <w:r>
        <w:rPr>
          <w:rFonts w:hint="eastAsia" w:ascii="仿宋" w:hAnsi="仿宋" w:eastAsia="仿宋" w:cs="仿宋"/>
          <w:b w:val="0"/>
          <w:bCs w:val="0"/>
          <w:spacing w:val="-1"/>
          <w:sz w:val="28"/>
          <w:szCs w:val="28"/>
          <w:u w:val="none"/>
          <w:lang w:val="en-US" w:eastAsia="zh-CN"/>
          <w14:textOutline w14:w="5105" w14:cap="sq" w14:cmpd="sng" w14:algn="ctr">
            <w14:solidFill>
              <w14:srgbClr w14:val="000000"/>
            </w14:solidFill>
            <w14:prstDash w14:val="solid"/>
            <w14:bevel/>
          </w14:textOutline>
        </w:rPr>
        <w:t>五</w:t>
      </w:r>
      <w:r>
        <w:rPr>
          <w:rFonts w:hint="eastAsia" w:ascii="仿宋" w:hAnsi="仿宋" w:eastAsia="仿宋" w:cs="仿宋"/>
          <w:b w:val="0"/>
          <w:bCs w:val="0"/>
          <w:spacing w:val="-1"/>
          <w:sz w:val="28"/>
          <w:szCs w:val="28"/>
          <w:u w:val="none"/>
          <w14:textOutline w14:w="5105" w14:cap="sq" w14:cmpd="sng" w14:algn="ctr">
            <w14:solidFill>
              <w14:srgbClr w14:val="000000"/>
            </w14:solidFill>
            <w14:prstDash w14:val="solid"/>
            <w14:bevel/>
          </w14:textOutline>
        </w:rPr>
        <w:t>)、</w:t>
      </w:r>
      <w:r>
        <w:rPr>
          <w:rFonts w:hint="eastAsia" w:ascii="仿宋" w:hAnsi="仿宋" w:eastAsia="仿宋" w:cs="仿宋"/>
          <w:b w:val="0"/>
          <w:bCs w:val="0"/>
          <w:spacing w:val="-1"/>
          <w:sz w:val="28"/>
          <w:szCs w:val="28"/>
          <w:u w:val="none"/>
          <w:lang w:val="en-US" w:eastAsia="zh-CN"/>
          <w14:textOutline w14:w="5105" w14:cap="sq" w14:cmpd="sng" w14:algn="ctr">
            <w14:solidFill>
              <w14:srgbClr w14:val="000000"/>
            </w14:solidFill>
            <w14:prstDash w14:val="solid"/>
            <w14:bevel/>
          </w14:textOutline>
        </w:rPr>
        <w:t>监测点位示意图</w:t>
      </w:r>
    </w:p>
    <w:p w14:paraId="62C8911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56" w:firstLineChars="200"/>
        <w:textAlignment w:val="baseline"/>
        <w:rPr>
          <w:rFonts w:hint="eastAsia" w:ascii="仿宋" w:hAnsi="仿宋" w:eastAsia="仿宋" w:cs="仿宋"/>
          <w:b w:val="0"/>
          <w:bCs w:val="0"/>
          <w:spacing w:val="-6"/>
          <w:sz w:val="24"/>
          <w:szCs w:val="24"/>
          <w:u w:val="none"/>
          <w:lang w:val="en-US" w:eastAsia="zh-CN"/>
        </w:rPr>
      </w:pPr>
      <w:r>
        <w:rPr>
          <w:rFonts w:hint="eastAsia" w:ascii="仿宋" w:hAnsi="仿宋" w:eastAsia="仿宋" w:cs="仿宋"/>
          <w:b w:val="0"/>
          <w:bCs w:val="0"/>
          <w:spacing w:val="-6"/>
          <w:sz w:val="24"/>
          <w:szCs w:val="24"/>
          <w:u w:val="none"/>
          <w:lang w:val="en-US" w:eastAsia="zh-CN"/>
        </w:rPr>
        <w:t>公司自行监测采用自动监测和手</w:t>
      </w:r>
      <w:r>
        <w:rPr>
          <w:rFonts w:hint="eastAsia" w:ascii="仿宋" w:hAnsi="仿宋" w:eastAsia="仿宋" w:cs="仿宋"/>
          <w:b w:val="0"/>
          <w:bCs w:val="0"/>
          <w:spacing w:val="-6"/>
          <w:sz w:val="24"/>
          <w:szCs w:val="24"/>
          <w:highlight w:val="yellow"/>
          <w:u w:val="none"/>
          <w:lang w:val="en-US" w:eastAsia="zh-CN"/>
        </w:rPr>
        <w:t>工</w:t>
      </w:r>
      <w:r>
        <w:rPr>
          <w:rFonts w:hint="eastAsia" w:ascii="仿宋" w:hAnsi="仿宋" w:eastAsia="仿宋" w:cs="仿宋"/>
          <w:b w:val="0"/>
          <w:bCs w:val="0"/>
          <w:spacing w:val="-6"/>
          <w:sz w:val="24"/>
          <w:szCs w:val="24"/>
          <w:u w:val="none"/>
          <w:lang w:val="en-US" w:eastAsia="zh-CN"/>
        </w:rPr>
        <w:t>监测相结合的技术手段。公司自行监测点位见下图。</w:t>
      </w:r>
    </w:p>
    <w:p w14:paraId="6B2BFB80">
      <w:pPr>
        <w:spacing w:before="28"/>
        <w:ind w:left="0" w:leftChars="0" w:right="0" w:rightChars="0" w:firstLine="0" w:firstLineChars="0"/>
        <w:jc w:val="center"/>
        <w:rPr>
          <w:rFonts w:hint="eastAsia" w:ascii="仿宋" w:hAnsi="仿宋" w:eastAsia="仿宋" w:cs="仿宋"/>
          <w:b w:val="0"/>
          <w:bCs w:val="0"/>
          <w:u w:val="none"/>
          <w:lang w:eastAsia="zh-CN"/>
        </w:rPr>
      </w:pPr>
      <w:r>
        <w:rPr>
          <w:rFonts w:hint="eastAsia" w:ascii="仿宋" w:hAnsi="仿宋" w:eastAsia="仿宋" w:cs="仿宋"/>
          <w:b w:val="0"/>
          <w:bCs w:val="0"/>
          <w:u w:val="none"/>
          <w:lang w:eastAsia="zh-CN"/>
        </w:rPr>
        <w:drawing>
          <wp:inline distT="0" distB="0" distL="114300" distR="114300">
            <wp:extent cx="4762500" cy="2430780"/>
            <wp:effectExtent l="0" t="0" r="0" b="7620"/>
            <wp:docPr id="4" name="图片 4" descr="监测点位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监测点位示意图"/>
                    <pic:cNvPicPr>
                      <a:picLocks noChangeAspect="1"/>
                    </pic:cNvPicPr>
                  </pic:nvPicPr>
                  <pic:blipFill>
                    <a:blip r:embed="rId10"/>
                    <a:stretch>
                      <a:fillRect/>
                    </a:stretch>
                  </pic:blipFill>
                  <pic:spPr>
                    <a:xfrm>
                      <a:off x="0" y="0"/>
                      <a:ext cx="4762500" cy="2430780"/>
                    </a:xfrm>
                    <a:prstGeom prst="rect">
                      <a:avLst/>
                    </a:prstGeom>
                  </pic:spPr>
                </pic:pic>
              </a:graphicData>
            </a:graphic>
          </wp:inline>
        </w:drawing>
      </w:r>
    </w:p>
    <w:p w14:paraId="3D1F4C20">
      <w:pPr>
        <w:spacing w:before="1" w:line="360" w:lineRule="auto"/>
        <w:outlineLvl w:val="0"/>
        <w:rPr>
          <w:rFonts w:hint="eastAsia" w:ascii="仿宋" w:hAnsi="仿宋" w:eastAsia="仿宋" w:cs="仿宋"/>
          <w:b w:val="0"/>
          <w:bCs w:val="0"/>
          <w:spacing w:val="14"/>
          <w:sz w:val="31"/>
          <w:szCs w:val="31"/>
          <w:u w:val="none"/>
          <w:lang w:val="en-US" w:eastAsia="zh-CN"/>
          <w14:textOutline w14:w="5791" w14:cap="sq" w14:cmpd="sng" w14:algn="ctr">
            <w14:solidFill>
              <w14:srgbClr w14:val="000000"/>
            </w14:solidFill>
            <w14:prstDash w14:val="solid"/>
            <w14:bevel/>
          </w14:textOutline>
        </w:rPr>
      </w:pPr>
      <w:r>
        <w:rPr>
          <w:rFonts w:hint="eastAsia" w:ascii="仿宋" w:hAnsi="仿宋" w:eastAsia="仿宋" w:cs="仿宋"/>
          <w:b w:val="0"/>
          <w:bCs w:val="0"/>
          <w:spacing w:val="14"/>
          <w:sz w:val="31"/>
          <w:szCs w:val="31"/>
          <w:u w:val="none"/>
          <w:lang w:val="en-US" w:eastAsia="zh-CN"/>
          <w14:textOutline w14:w="5791" w14:cap="sq" w14:cmpd="sng" w14:algn="ctr">
            <w14:solidFill>
              <w14:srgbClr w14:val="000000"/>
            </w14:solidFill>
            <w14:prstDash w14:val="solid"/>
            <w14:bevel/>
          </w14:textOutline>
        </w:rPr>
        <w:t>四、样品采集及保存</w:t>
      </w:r>
    </w:p>
    <w:p w14:paraId="1BE945D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left"/>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环境监测要求采集的监测试样必须具有代表性，采样前做好采样 器具、固定剂和安全防护物品的准备，废水样品采集根据国家标准《污 水监测技术规范》HJ91.1-2019、《水质采样技术指导》HJ494-2009 选择采样方式、采样瓶及采集样品量，采样容器必须按规范清洗干净， 根据被测项目的理化性质，选用不同材质的采样容器。样品容器应按 样品类型和项目进行唯一性标识编号，标签要粘贴在不易磨损、碰撞 的部位。污水的监测项目根据行业类型有不同要求。在分时间单元采集样品时，测定pH、CODcr、BOD</w:t>
      </w:r>
      <w:r>
        <w:rPr>
          <w:rFonts w:hint="eastAsia" w:ascii="仿宋" w:hAnsi="仿宋" w:eastAsia="仿宋" w:cs="仿宋"/>
          <w:b w:val="0"/>
          <w:bCs w:val="0"/>
          <w:spacing w:val="0"/>
          <w:sz w:val="24"/>
          <w:szCs w:val="24"/>
          <w:u w:val="none"/>
          <w:vertAlign w:val="subscript"/>
          <w:lang w:val="en-US" w:eastAsia="zh-CN"/>
        </w:rPr>
        <w:t>5</w:t>
      </w:r>
      <w:r>
        <w:rPr>
          <w:rFonts w:hint="eastAsia" w:ascii="仿宋" w:hAnsi="仿宋" w:eastAsia="仿宋" w:cs="仿宋"/>
          <w:b w:val="0"/>
          <w:bCs w:val="0"/>
          <w:spacing w:val="0"/>
          <w:sz w:val="24"/>
          <w:szCs w:val="24"/>
          <w:u w:val="none"/>
        </w:rPr>
        <w:t>、石油类、有机物、悬浮物等项目的样品，不能混合，只能单独采样。采样容器的运输应配置专用洁净 箱子，以避免受污染。采样时，检查容器编号与点位是否吻合，并先 用该采样点的水冲容器2-3次，然后装入水样，水样采集数量应按规 定需要量再增加25%,并按国家标准 HJ493-2009《水质采样样品的 保存和管理技术规定》要求立即加入相应的保存剂，同时填写标签和 采样记录单。采样结束前，应仔细检查采样记录和水样，若发现有漏 采或不符合规定时，应立即补采或重采。水样送入实验室时，应及时 做好样品交接工作，首先要检查水样标签，样品瓶完好性，样品瓶瓶身和瓶盖标识是否统一，采样记录信息是否完整、属实，清点样品数量，检查保存剂添加情况，确认无误时签字验收。如果不能立即进行 分析，应尽快采取保存措施，防止水样被污。样品保存方法见表19。</w:t>
      </w:r>
    </w:p>
    <w:p w14:paraId="543419A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rPr>
        <w:t>表19 污水监测项目的采样和保存技术</w:t>
      </w:r>
    </w:p>
    <w:tbl>
      <w:tblPr>
        <w:tblStyle w:val="16"/>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1435"/>
        <w:gridCol w:w="1502"/>
        <w:gridCol w:w="2027"/>
        <w:gridCol w:w="1196"/>
        <w:gridCol w:w="1677"/>
      </w:tblGrid>
      <w:tr w14:paraId="55045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92" w:type="dxa"/>
            <w:vAlign w:val="center"/>
          </w:tcPr>
          <w:p w14:paraId="09BA4EB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序号</w:t>
            </w:r>
          </w:p>
        </w:tc>
        <w:tc>
          <w:tcPr>
            <w:tcW w:w="1458" w:type="dxa"/>
            <w:vAlign w:val="center"/>
          </w:tcPr>
          <w:p w14:paraId="5A8F106B">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监测项目</w:t>
            </w:r>
          </w:p>
        </w:tc>
        <w:tc>
          <w:tcPr>
            <w:tcW w:w="1590" w:type="dxa"/>
            <w:vAlign w:val="center"/>
          </w:tcPr>
          <w:p w14:paraId="13AD4A65">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采样容器</w:t>
            </w:r>
          </w:p>
        </w:tc>
        <w:tc>
          <w:tcPr>
            <w:tcW w:w="2115" w:type="dxa"/>
            <w:vAlign w:val="center"/>
          </w:tcPr>
          <w:p w14:paraId="6D329968">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采集或保存方法</w:t>
            </w:r>
          </w:p>
        </w:tc>
        <w:tc>
          <w:tcPr>
            <w:tcW w:w="1110" w:type="dxa"/>
            <w:vAlign w:val="center"/>
          </w:tcPr>
          <w:p w14:paraId="27FD343F">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保存</w:t>
            </w:r>
          </w:p>
          <w:p w14:paraId="3261155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期限</w:t>
            </w:r>
          </w:p>
        </w:tc>
        <w:tc>
          <w:tcPr>
            <w:tcW w:w="1758" w:type="dxa"/>
            <w:vAlign w:val="center"/>
          </w:tcPr>
          <w:p w14:paraId="2F6FD2B8">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采样量（L）</w:t>
            </w:r>
          </w:p>
        </w:tc>
      </w:tr>
      <w:tr w14:paraId="3B65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92" w:type="dxa"/>
            <w:vAlign w:val="center"/>
          </w:tcPr>
          <w:p w14:paraId="2F4A310B">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1</w:t>
            </w:r>
          </w:p>
        </w:tc>
        <w:tc>
          <w:tcPr>
            <w:tcW w:w="1458" w:type="dxa"/>
            <w:vAlign w:val="center"/>
          </w:tcPr>
          <w:p w14:paraId="1583E7DA">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悬浮物</w:t>
            </w:r>
          </w:p>
        </w:tc>
        <w:tc>
          <w:tcPr>
            <w:tcW w:w="1590" w:type="dxa"/>
            <w:vAlign w:val="center"/>
          </w:tcPr>
          <w:p w14:paraId="45022C1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P或G</w:t>
            </w:r>
          </w:p>
        </w:tc>
        <w:tc>
          <w:tcPr>
            <w:tcW w:w="2115" w:type="dxa"/>
            <w:vAlign w:val="center"/>
          </w:tcPr>
          <w:p w14:paraId="2F445AD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0-4℃冷藏</w:t>
            </w:r>
          </w:p>
        </w:tc>
        <w:tc>
          <w:tcPr>
            <w:tcW w:w="1110" w:type="dxa"/>
            <w:vAlign w:val="center"/>
          </w:tcPr>
          <w:p w14:paraId="6013FB8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7d</w:t>
            </w:r>
          </w:p>
        </w:tc>
        <w:tc>
          <w:tcPr>
            <w:tcW w:w="1758" w:type="dxa"/>
            <w:vAlign w:val="center"/>
          </w:tcPr>
          <w:p w14:paraId="4D8847E0">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500</w:t>
            </w:r>
          </w:p>
        </w:tc>
      </w:tr>
      <w:tr w14:paraId="6BB20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2" w:type="dxa"/>
            <w:vAlign w:val="center"/>
          </w:tcPr>
          <w:p w14:paraId="283E0F5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2</w:t>
            </w:r>
          </w:p>
        </w:tc>
        <w:tc>
          <w:tcPr>
            <w:tcW w:w="1458" w:type="dxa"/>
            <w:vAlign w:val="center"/>
          </w:tcPr>
          <w:p w14:paraId="3907FBDB">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粪大肠菌群数数</w:t>
            </w:r>
          </w:p>
        </w:tc>
        <w:tc>
          <w:tcPr>
            <w:tcW w:w="1590" w:type="dxa"/>
            <w:vAlign w:val="center"/>
          </w:tcPr>
          <w:p w14:paraId="253E408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G</w:t>
            </w:r>
          </w:p>
        </w:tc>
        <w:tc>
          <w:tcPr>
            <w:tcW w:w="2115" w:type="dxa"/>
            <w:vAlign w:val="center"/>
          </w:tcPr>
          <w:p w14:paraId="6C6F662E">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无菌、4℃以下冷藏</w:t>
            </w:r>
          </w:p>
        </w:tc>
        <w:tc>
          <w:tcPr>
            <w:tcW w:w="1110" w:type="dxa"/>
            <w:vAlign w:val="center"/>
          </w:tcPr>
          <w:p w14:paraId="692B128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6h</w:t>
            </w:r>
          </w:p>
        </w:tc>
        <w:tc>
          <w:tcPr>
            <w:tcW w:w="1758" w:type="dxa"/>
            <w:vAlign w:val="center"/>
          </w:tcPr>
          <w:p w14:paraId="7525B264">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500</w:t>
            </w:r>
          </w:p>
        </w:tc>
      </w:tr>
      <w:tr w14:paraId="247F5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2" w:type="dxa"/>
            <w:vAlign w:val="center"/>
          </w:tcPr>
          <w:p w14:paraId="7DF1AE6B">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3</w:t>
            </w:r>
          </w:p>
        </w:tc>
        <w:tc>
          <w:tcPr>
            <w:tcW w:w="1458" w:type="dxa"/>
            <w:vAlign w:val="center"/>
          </w:tcPr>
          <w:p w14:paraId="29D3E88C">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五日生化需氧量</w:t>
            </w:r>
          </w:p>
        </w:tc>
        <w:tc>
          <w:tcPr>
            <w:tcW w:w="1590" w:type="dxa"/>
            <w:vAlign w:val="center"/>
          </w:tcPr>
          <w:p w14:paraId="5F985AC8">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G</w:t>
            </w:r>
          </w:p>
        </w:tc>
        <w:tc>
          <w:tcPr>
            <w:tcW w:w="2115" w:type="dxa"/>
            <w:vAlign w:val="center"/>
          </w:tcPr>
          <w:p w14:paraId="61BB788C">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0-4 ℃暗处冷藏</w:t>
            </w:r>
          </w:p>
        </w:tc>
        <w:tc>
          <w:tcPr>
            <w:tcW w:w="1110" w:type="dxa"/>
            <w:vAlign w:val="center"/>
          </w:tcPr>
          <w:p w14:paraId="2F3DEB55">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24h</w:t>
            </w:r>
          </w:p>
        </w:tc>
        <w:tc>
          <w:tcPr>
            <w:tcW w:w="1758" w:type="dxa"/>
            <w:vAlign w:val="center"/>
          </w:tcPr>
          <w:p w14:paraId="70F8FBC5">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1000</w:t>
            </w:r>
          </w:p>
        </w:tc>
      </w:tr>
      <w:tr w14:paraId="329B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2" w:type="dxa"/>
            <w:vAlign w:val="center"/>
          </w:tcPr>
          <w:p w14:paraId="5F2F6F65">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4</w:t>
            </w:r>
          </w:p>
        </w:tc>
        <w:tc>
          <w:tcPr>
            <w:tcW w:w="1458" w:type="dxa"/>
            <w:vAlign w:val="center"/>
          </w:tcPr>
          <w:p w14:paraId="46C646E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石油类</w:t>
            </w:r>
          </w:p>
        </w:tc>
        <w:tc>
          <w:tcPr>
            <w:tcW w:w="1590" w:type="dxa"/>
            <w:vAlign w:val="center"/>
          </w:tcPr>
          <w:p w14:paraId="2A3B4B4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G</w:t>
            </w:r>
          </w:p>
        </w:tc>
        <w:tc>
          <w:tcPr>
            <w:tcW w:w="2115" w:type="dxa"/>
            <w:vAlign w:val="center"/>
          </w:tcPr>
          <w:p w14:paraId="21D86C74">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0-4℃冷藏</w:t>
            </w:r>
          </w:p>
        </w:tc>
        <w:tc>
          <w:tcPr>
            <w:tcW w:w="1110" w:type="dxa"/>
            <w:vAlign w:val="center"/>
          </w:tcPr>
          <w:p w14:paraId="589AC1C8">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3d</w:t>
            </w:r>
          </w:p>
        </w:tc>
        <w:tc>
          <w:tcPr>
            <w:tcW w:w="1758" w:type="dxa"/>
            <w:vAlign w:val="center"/>
          </w:tcPr>
          <w:p w14:paraId="183F04D5">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500</w:t>
            </w:r>
          </w:p>
        </w:tc>
      </w:tr>
      <w:tr w14:paraId="0091E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92" w:type="dxa"/>
            <w:vAlign w:val="center"/>
          </w:tcPr>
          <w:p w14:paraId="4FCDA92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5</w:t>
            </w:r>
          </w:p>
        </w:tc>
        <w:tc>
          <w:tcPr>
            <w:tcW w:w="1458" w:type="dxa"/>
            <w:vAlign w:val="center"/>
          </w:tcPr>
          <w:p w14:paraId="0542A421">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挥发酚</w:t>
            </w:r>
          </w:p>
        </w:tc>
        <w:tc>
          <w:tcPr>
            <w:tcW w:w="1590" w:type="dxa"/>
            <w:vAlign w:val="center"/>
          </w:tcPr>
          <w:p w14:paraId="52410897">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棕G</w:t>
            </w:r>
          </w:p>
        </w:tc>
        <w:tc>
          <w:tcPr>
            <w:tcW w:w="2115" w:type="dxa"/>
            <w:vAlign w:val="center"/>
          </w:tcPr>
          <w:p w14:paraId="2495D3D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4 ℃暗处冷藏</w:t>
            </w:r>
          </w:p>
        </w:tc>
        <w:tc>
          <w:tcPr>
            <w:tcW w:w="1110" w:type="dxa"/>
            <w:vAlign w:val="center"/>
          </w:tcPr>
          <w:p w14:paraId="1BE0FE6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1d</w:t>
            </w:r>
          </w:p>
        </w:tc>
        <w:tc>
          <w:tcPr>
            <w:tcW w:w="1758" w:type="dxa"/>
            <w:vAlign w:val="center"/>
          </w:tcPr>
          <w:p w14:paraId="3AB72A4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样品采集大于500（1000）</w:t>
            </w:r>
          </w:p>
        </w:tc>
      </w:tr>
      <w:tr w14:paraId="47E9C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92" w:type="dxa"/>
            <w:vAlign w:val="center"/>
          </w:tcPr>
          <w:p w14:paraId="1D878ED0">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6</w:t>
            </w:r>
          </w:p>
        </w:tc>
        <w:tc>
          <w:tcPr>
            <w:tcW w:w="1458" w:type="dxa"/>
            <w:vAlign w:val="center"/>
          </w:tcPr>
          <w:p w14:paraId="4A46994A">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动植物油</w:t>
            </w:r>
          </w:p>
        </w:tc>
        <w:tc>
          <w:tcPr>
            <w:tcW w:w="1590" w:type="dxa"/>
            <w:vAlign w:val="center"/>
          </w:tcPr>
          <w:p w14:paraId="4901AAD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G</w:t>
            </w:r>
          </w:p>
        </w:tc>
        <w:tc>
          <w:tcPr>
            <w:tcW w:w="2115" w:type="dxa"/>
            <w:vAlign w:val="center"/>
          </w:tcPr>
          <w:p w14:paraId="6DB2678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0-4℃冷藏</w:t>
            </w:r>
          </w:p>
        </w:tc>
        <w:tc>
          <w:tcPr>
            <w:tcW w:w="1110" w:type="dxa"/>
            <w:vAlign w:val="center"/>
          </w:tcPr>
          <w:p w14:paraId="4CEE53AE">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3d</w:t>
            </w:r>
          </w:p>
        </w:tc>
        <w:tc>
          <w:tcPr>
            <w:tcW w:w="1758" w:type="dxa"/>
            <w:vAlign w:val="center"/>
          </w:tcPr>
          <w:p w14:paraId="52B19DCE">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500</w:t>
            </w:r>
          </w:p>
        </w:tc>
      </w:tr>
      <w:tr w14:paraId="2A2C9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2" w:type="dxa"/>
            <w:vAlign w:val="center"/>
          </w:tcPr>
          <w:p w14:paraId="295703A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7</w:t>
            </w:r>
          </w:p>
        </w:tc>
        <w:tc>
          <w:tcPr>
            <w:tcW w:w="1458" w:type="dxa"/>
            <w:vAlign w:val="center"/>
          </w:tcPr>
          <w:p w14:paraId="4373113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阴离子表面活性剂</w:t>
            </w:r>
          </w:p>
        </w:tc>
        <w:tc>
          <w:tcPr>
            <w:tcW w:w="1590" w:type="dxa"/>
            <w:vAlign w:val="center"/>
          </w:tcPr>
          <w:p w14:paraId="27266C3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G</w:t>
            </w:r>
          </w:p>
        </w:tc>
        <w:tc>
          <w:tcPr>
            <w:tcW w:w="2115" w:type="dxa"/>
            <w:vAlign w:val="center"/>
          </w:tcPr>
          <w:p w14:paraId="021D219A">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4 ℃低温保存</w:t>
            </w:r>
          </w:p>
        </w:tc>
        <w:tc>
          <w:tcPr>
            <w:tcW w:w="1110" w:type="dxa"/>
            <w:vAlign w:val="center"/>
          </w:tcPr>
          <w:p w14:paraId="4F807E2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1d</w:t>
            </w:r>
          </w:p>
        </w:tc>
        <w:tc>
          <w:tcPr>
            <w:tcW w:w="1758" w:type="dxa"/>
            <w:vAlign w:val="center"/>
          </w:tcPr>
          <w:p w14:paraId="2FB8B2EF">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250</w:t>
            </w:r>
          </w:p>
        </w:tc>
      </w:tr>
      <w:tr w14:paraId="6765D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92" w:type="dxa"/>
            <w:vAlign w:val="center"/>
          </w:tcPr>
          <w:p w14:paraId="06DCF407">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8</w:t>
            </w:r>
          </w:p>
        </w:tc>
        <w:tc>
          <w:tcPr>
            <w:tcW w:w="1458" w:type="dxa"/>
            <w:vAlign w:val="center"/>
          </w:tcPr>
          <w:p w14:paraId="62FC7F9E">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总氰化物</w:t>
            </w:r>
          </w:p>
        </w:tc>
        <w:tc>
          <w:tcPr>
            <w:tcW w:w="1590" w:type="dxa"/>
            <w:vAlign w:val="center"/>
          </w:tcPr>
          <w:p w14:paraId="13A80008">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P或G</w:t>
            </w:r>
          </w:p>
        </w:tc>
        <w:tc>
          <w:tcPr>
            <w:tcW w:w="2115" w:type="dxa"/>
            <w:vAlign w:val="center"/>
          </w:tcPr>
          <w:p w14:paraId="556D03D1">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w:t>
            </w:r>
          </w:p>
        </w:tc>
        <w:tc>
          <w:tcPr>
            <w:tcW w:w="1110" w:type="dxa"/>
            <w:vAlign w:val="center"/>
          </w:tcPr>
          <w:p w14:paraId="71055021">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24h</w:t>
            </w:r>
          </w:p>
        </w:tc>
        <w:tc>
          <w:tcPr>
            <w:tcW w:w="1758" w:type="dxa"/>
            <w:vAlign w:val="center"/>
          </w:tcPr>
          <w:p w14:paraId="47B29BF7">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500</w:t>
            </w:r>
          </w:p>
        </w:tc>
      </w:tr>
      <w:tr w14:paraId="383F8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92" w:type="dxa"/>
            <w:vAlign w:val="center"/>
          </w:tcPr>
          <w:p w14:paraId="7E5FAA57">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9</w:t>
            </w:r>
          </w:p>
        </w:tc>
        <w:tc>
          <w:tcPr>
            <w:tcW w:w="1458" w:type="dxa"/>
            <w:vAlign w:val="center"/>
          </w:tcPr>
          <w:p w14:paraId="5EBC1BAE">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lang w:val="zh-CN"/>
              </w:rPr>
            </w:pPr>
            <w:r>
              <w:rPr>
                <w:rFonts w:hint="eastAsia" w:ascii="仿宋" w:hAnsi="仿宋" w:eastAsia="仿宋" w:cs="仿宋"/>
                <w:b w:val="0"/>
                <w:bCs w:val="0"/>
                <w:color w:val="auto"/>
                <w:sz w:val="21"/>
                <w:szCs w:val="21"/>
                <w:u w:val="none"/>
              </w:rPr>
              <w:t>总余氯</w:t>
            </w:r>
          </w:p>
        </w:tc>
        <w:tc>
          <w:tcPr>
            <w:tcW w:w="1590" w:type="dxa"/>
            <w:vAlign w:val="center"/>
          </w:tcPr>
          <w:p w14:paraId="2E96566A">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P或G</w:t>
            </w:r>
          </w:p>
        </w:tc>
        <w:tc>
          <w:tcPr>
            <w:tcW w:w="2115" w:type="dxa"/>
            <w:vAlign w:val="center"/>
          </w:tcPr>
          <w:p w14:paraId="183B8C38">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避光</w:t>
            </w:r>
          </w:p>
        </w:tc>
        <w:tc>
          <w:tcPr>
            <w:tcW w:w="1110" w:type="dxa"/>
            <w:vAlign w:val="center"/>
          </w:tcPr>
          <w:p w14:paraId="571D821A">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5min</w:t>
            </w:r>
          </w:p>
        </w:tc>
        <w:tc>
          <w:tcPr>
            <w:tcW w:w="1758" w:type="dxa"/>
            <w:vAlign w:val="center"/>
          </w:tcPr>
          <w:p w14:paraId="17F5E27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500</w:t>
            </w:r>
          </w:p>
        </w:tc>
      </w:tr>
      <w:tr w14:paraId="1C44D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92" w:type="dxa"/>
            <w:vAlign w:val="center"/>
          </w:tcPr>
          <w:p w14:paraId="7C8E413F">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10</w:t>
            </w:r>
          </w:p>
        </w:tc>
        <w:tc>
          <w:tcPr>
            <w:tcW w:w="1458" w:type="dxa"/>
            <w:vAlign w:val="center"/>
          </w:tcPr>
          <w:p w14:paraId="4A16D597">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lang w:val="zh-CN"/>
              </w:rPr>
            </w:pPr>
            <w:r>
              <w:rPr>
                <w:rFonts w:hint="eastAsia" w:ascii="仿宋" w:hAnsi="仿宋" w:eastAsia="仿宋" w:cs="仿宋"/>
                <w:b w:val="0"/>
                <w:bCs w:val="0"/>
                <w:color w:val="auto"/>
                <w:sz w:val="21"/>
                <w:szCs w:val="21"/>
                <w:u w:val="none"/>
              </w:rPr>
              <w:t>pH值</w:t>
            </w:r>
          </w:p>
        </w:tc>
        <w:tc>
          <w:tcPr>
            <w:tcW w:w="1590" w:type="dxa"/>
            <w:vAlign w:val="center"/>
          </w:tcPr>
          <w:p w14:paraId="78DFAC48">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P或G</w:t>
            </w:r>
          </w:p>
        </w:tc>
        <w:tc>
          <w:tcPr>
            <w:tcW w:w="2115" w:type="dxa"/>
            <w:vAlign w:val="center"/>
          </w:tcPr>
          <w:p w14:paraId="24EC0E1C">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w:t>
            </w:r>
          </w:p>
        </w:tc>
        <w:tc>
          <w:tcPr>
            <w:tcW w:w="1110" w:type="dxa"/>
            <w:vAlign w:val="center"/>
          </w:tcPr>
          <w:p w14:paraId="0B74E84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2h</w:t>
            </w:r>
          </w:p>
        </w:tc>
        <w:tc>
          <w:tcPr>
            <w:tcW w:w="1758" w:type="dxa"/>
            <w:vAlign w:val="center"/>
          </w:tcPr>
          <w:p w14:paraId="30782F2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250</w:t>
            </w:r>
          </w:p>
        </w:tc>
      </w:tr>
      <w:tr w14:paraId="76624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92" w:type="dxa"/>
            <w:vMerge w:val="restart"/>
            <w:vAlign w:val="center"/>
          </w:tcPr>
          <w:p w14:paraId="500201D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11</w:t>
            </w:r>
          </w:p>
        </w:tc>
        <w:tc>
          <w:tcPr>
            <w:tcW w:w="1458" w:type="dxa"/>
            <w:vMerge w:val="restart"/>
            <w:vAlign w:val="center"/>
          </w:tcPr>
          <w:p w14:paraId="39BB178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CODcr</w:t>
            </w:r>
          </w:p>
        </w:tc>
        <w:tc>
          <w:tcPr>
            <w:tcW w:w="1590" w:type="dxa"/>
            <w:vAlign w:val="center"/>
          </w:tcPr>
          <w:p w14:paraId="747668A5">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G</w:t>
            </w:r>
          </w:p>
        </w:tc>
        <w:tc>
          <w:tcPr>
            <w:tcW w:w="2115" w:type="dxa"/>
            <w:vAlign w:val="center"/>
          </w:tcPr>
          <w:p w14:paraId="15F44C31">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H2SO4，pH≤2</w:t>
            </w:r>
          </w:p>
        </w:tc>
        <w:tc>
          <w:tcPr>
            <w:tcW w:w="1110" w:type="dxa"/>
            <w:vAlign w:val="center"/>
          </w:tcPr>
          <w:p w14:paraId="3B0724F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2d</w:t>
            </w:r>
          </w:p>
        </w:tc>
        <w:tc>
          <w:tcPr>
            <w:tcW w:w="1758" w:type="dxa"/>
            <w:vAlign w:val="center"/>
          </w:tcPr>
          <w:p w14:paraId="5E2F31EE">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500</w:t>
            </w:r>
          </w:p>
        </w:tc>
      </w:tr>
      <w:tr w14:paraId="1C744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92" w:type="dxa"/>
            <w:vMerge w:val="continue"/>
            <w:vAlign w:val="center"/>
          </w:tcPr>
          <w:p w14:paraId="4848A2C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p>
        </w:tc>
        <w:tc>
          <w:tcPr>
            <w:tcW w:w="1458" w:type="dxa"/>
            <w:vMerge w:val="continue"/>
            <w:vAlign w:val="center"/>
          </w:tcPr>
          <w:p w14:paraId="48067048">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p>
        </w:tc>
        <w:tc>
          <w:tcPr>
            <w:tcW w:w="1590" w:type="dxa"/>
            <w:vAlign w:val="center"/>
          </w:tcPr>
          <w:p w14:paraId="477BA06F">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P</w:t>
            </w:r>
          </w:p>
        </w:tc>
        <w:tc>
          <w:tcPr>
            <w:tcW w:w="2115" w:type="dxa"/>
            <w:vAlign w:val="center"/>
          </w:tcPr>
          <w:p w14:paraId="620EFE20">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-20℃冷冻</w:t>
            </w:r>
          </w:p>
        </w:tc>
        <w:tc>
          <w:tcPr>
            <w:tcW w:w="1110" w:type="dxa"/>
            <w:vAlign w:val="center"/>
          </w:tcPr>
          <w:p w14:paraId="0FF7D7E5">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30d</w:t>
            </w:r>
          </w:p>
        </w:tc>
        <w:tc>
          <w:tcPr>
            <w:tcW w:w="1758" w:type="dxa"/>
            <w:vAlign w:val="center"/>
          </w:tcPr>
          <w:p w14:paraId="06B56806">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100</w:t>
            </w:r>
          </w:p>
        </w:tc>
      </w:tr>
      <w:tr w14:paraId="3D37F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2" w:type="dxa"/>
            <w:vAlign w:val="center"/>
          </w:tcPr>
          <w:p w14:paraId="34E1B864">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12</w:t>
            </w:r>
          </w:p>
        </w:tc>
        <w:tc>
          <w:tcPr>
            <w:tcW w:w="1458" w:type="dxa"/>
            <w:vAlign w:val="center"/>
          </w:tcPr>
          <w:p w14:paraId="1AD104DA">
            <w:pPr>
              <w:widowControl w:val="0"/>
              <w:kinsoku/>
              <w:autoSpaceDE/>
              <w:autoSpaceDN/>
              <w:adjustRightInd/>
              <w:snapToGrid/>
              <w:spacing w:line="240" w:lineRule="auto"/>
              <w:jc w:val="center"/>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snapToGrid/>
                <w:color w:val="auto"/>
                <w:kern w:val="2"/>
                <w:sz w:val="21"/>
                <w:szCs w:val="21"/>
                <w:highlight w:val="none"/>
                <w:u w:val="none"/>
                <w:lang w:eastAsia="zh-CN"/>
              </w:rPr>
              <w:t>氨氮</w:t>
            </w:r>
          </w:p>
        </w:tc>
        <w:tc>
          <w:tcPr>
            <w:tcW w:w="1590" w:type="dxa"/>
            <w:vAlign w:val="center"/>
          </w:tcPr>
          <w:p w14:paraId="3F3DC187">
            <w:pPr>
              <w:widowControl w:val="0"/>
              <w:kinsoku/>
              <w:autoSpaceDE/>
              <w:autoSpaceDN/>
              <w:adjustRightInd/>
              <w:snapToGrid/>
              <w:spacing w:line="240" w:lineRule="auto"/>
              <w:jc w:val="center"/>
              <w:textAlignment w:val="auto"/>
              <w:rPr>
                <w:rFonts w:hint="eastAsia" w:ascii="仿宋" w:hAnsi="仿宋" w:eastAsia="仿宋" w:cs="仿宋"/>
                <w:b w:val="0"/>
                <w:bCs w:val="0"/>
                <w:color w:val="auto"/>
                <w:sz w:val="21"/>
                <w:szCs w:val="21"/>
                <w:u w:val="none"/>
              </w:rPr>
            </w:pPr>
            <w:r>
              <w:rPr>
                <w:rFonts w:hint="eastAsia" w:ascii="仿宋" w:hAnsi="仿宋" w:eastAsia="仿宋" w:cs="仿宋"/>
                <w:b w:val="0"/>
                <w:bCs w:val="0"/>
                <w:snapToGrid/>
                <w:color w:val="auto"/>
                <w:kern w:val="2"/>
                <w:sz w:val="21"/>
                <w:szCs w:val="21"/>
                <w:highlight w:val="none"/>
                <w:u w:val="none"/>
                <w:lang w:eastAsia="zh-CN"/>
              </w:rPr>
              <w:t>P或G</w:t>
            </w:r>
          </w:p>
        </w:tc>
        <w:tc>
          <w:tcPr>
            <w:tcW w:w="2115" w:type="dxa"/>
            <w:vAlign w:val="center"/>
          </w:tcPr>
          <w:p w14:paraId="741484FF">
            <w:pPr>
              <w:widowControl w:val="0"/>
              <w:kinsoku/>
              <w:autoSpaceDE/>
              <w:autoSpaceDN/>
              <w:adjustRightInd/>
              <w:snapToGrid/>
              <w:spacing w:line="240" w:lineRule="auto"/>
              <w:jc w:val="center"/>
              <w:textAlignment w:val="auto"/>
              <w:rPr>
                <w:rFonts w:hint="eastAsia" w:ascii="仿宋" w:hAnsi="仿宋" w:eastAsia="仿宋" w:cs="仿宋"/>
                <w:b w:val="0"/>
                <w:bCs w:val="0"/>
                <w:color w:val="auto"/>
                <w:sz w:val="21"/>
                <w:szCs w:val="21"/>
                <w:u w:val="none"/>
              </w:rPr>
            </w:pPr>
            <w:r>
              <w:rPr>
                <w:rFonts w:hint="eastAsia" w:ascii="仿宋" w:hAnsi="仿宋" w:eastAsia="仿宋" w:cs="仿宋"/>
                <w:b w:val="0"/>
                <w:bCs w:val="0"/>
                <w:snapToGrid/>
                <w:color w:val="auto"/>
                <w:kern w:val="2"/>
                <w:sz w:val="21"/>
                <w:szCs w:val="21"/>
                <w:highlight w:val="none"/>
                <w:u w:val="none"/>
                <w:lang w:val="en-US" w:eastAsia="zh-CN"/>
              </w:rPr>
              <w:t>用</w:t>
            </w:r>
            <w:r>
              <w:rPr>
                <w:rFonts w:hint="eastAsia" w:ascii="仿宋" w:hAnsi="仿宋" w:eastAsia="仿宋" w:cs="仿宋"/>
                <w:b w:val="0"/>
                <w:bCs w:val="0"/>
                <w:snapToGrid/>
                <w:color w:val="auto"/>
                <w:kern w:val="2"/>
                <w:sz w:val="21"/>
                <w:szCs w:val="21"/>
                <w:highlight w:val="none"/>
                <w:u w:val="none"/>
                <w:lang w:val="zh-CN" w:eastAsia="zh-CN"/>
              </w:rPr>
              <w:t>H</w:t>
            </w:r>
            <w:r>
              <w:rPr>
                <w:rFonts w:hint="eastAsia" w:ascii="仿宋" w:hAnsi="仿宋" w:eastAsia="仿宋" w:cs="仿宋"/>
                <w:b w:val="0"/>
                <w:bCs w:val="0"/>
                <w:snapToGrid/>
                <w:color w:val="auto"/>
                <w:kern w:val="2"/>
                <w:sz w:val="21"/>
                <w:szCs w:val="21"/>
                <w:highlight w:val="none"/>
                <w:u w:val="none"/>
                <w:vertAlign w:val="subscript"/>
                <w:lang w:val="zh-CN" w:eastAsia="zh-CN"/>
              </w:rPr>
              <w:t>2</w:t>
            </w:r>
            <w:r>
              <w:rPr>
                <w:rFonts w:hint="eastAsia" w:ascii="仿宋" w:hAnsi="仿宋" w:eastAsia="仿宋" w:cs="仿宋"/>
                <w:b w:val="0"/>
                <w:bCs w:val="0"/>
                <w:snapToGrid/>
                <w:color w:val="auto"/>
                <w:kern w:val="2"/>
                <w:sz w:val="21"/>
                <w:szCs w:val="21"/>
                <w:highlight w:val="none"/>
                <w:u w:val="none"/>
                <w:lang w:val="zh-CN" w:eastAsia="zh-CN"/>
              </w:rPr>
              <w:t>SO</w:t>
            </w:r>
            <w:r>
              <w:rPr>
                <w:rFonts w:hint="eastAsia" w:ascii="仿宋" w:hAnsi="仿宋" w:eastAsia="仿宋" w:cs="仿宋"/>
                <w:b w:val="0"/>
                <w:bCs w:val="0"/>
                <w:snapToGrid/>
                <w:color w:val="auto"/>
                <w:kern w:val="2"/>
                <w:sz w:val="21"/>
                <w:szCs w:val="21"/>
                <w:highlight w:val="none"/>
                <w:u w:val="none"/>
                <w:vertAlign w:val="subscript"/>
                <w:lang w:val="zh-CN" w:eastAsia="zh-CN"/>
              </w:rPr>
              <w:t>4</w:t>
            </w:r>
            <w:r>
              <w:rPr>
                <w:rFonts w:hint="eastAsia" w:ascii="仿宋" w:hAnsi="仿宋" w:eastAsia="仿宋" w:cs="仿宋"/>
                <w:b w:val="0"/>
                <w:bCs w:val="0"/>
                <w:snapToGrid/>
                <w:color w:val="auto"/>
                <w:kern w:val="2"/>
                <w:sz w:val="21"/>
                <w:szCs w:val="21"/>
                <w:highlight w:val="none"/>
                <w:u w:val="none"/>
                <w:vertAlign w:val="baseline"/>
                <w:lang w:val="en-US" w:eastAsia="zh-CN"/>
              </w:rPr>
              <w:t>酸化</w:t>
            </w:r>
            <w:r>
              <w:rPr>
                <w:rFonts w:hint="eastAsia" w:ascii="仿宋" w:hAnsi="仿宋" w:eastAsia="仿宋" w:cs="仿宋"/>
                <w:b w:val="0"/>
                <w:bCs w:val="0"/>
                <w:snapToGrid/>
                <w:color w:val="auto"/>
                <w:kern w:val="2"/>
                <w:sz w:val="21"/>
                <w:szCs w:val="21"/>
                <w:highlight w:val="none"/>
                <w:u w:val="none"/>
                <w:lang w:val="zh-CN" w:eastAsia="zh-CN"/>
              </w:rPr>
              <w:t>，pH≤2</w:t>
            </w:r>
          </w:p>
        </w:tc>
        <w:tc>
          <w:tcPr>
            <w:tcW w:w="1110" w:type="dxa"/>
            <w:vAlign w:val="center"/>
          </w:tcPr>
          <w:p w14:paraId="4C1C8D39">
            <w:pPr>
              <w:widowControl w:val="0"/>
              <w:kinsoku/>
              <w:autoSpaceDE/>
              <w:autoSpaceDN/>
              <w:adjustRightInd/>
              <w:snapToGrid/>
              <w:spacing w:line="240" w:lineRule="auto"/>
              <w:jc w:val="center"/>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snapToGrid/>
                <w:color w:val="auto"/>
                <w:kern w:val="2"/>
                <w:sz w:val="21"/>
                <w:szCs w:val="21"/>
                <w:highlight w:val="none"/>
                <w:u w:val="none"/>
                <w:lang w:eastAsia="zh-CN"/>
              </w:rPr>
              <w:t>24h</w:t>
            </w:r>
          </w:p>
        </w:tc>
        <w:tc>
          <w:tcPr>
            <w:tcW w:w="1758" w:type="dxa"/>
            <w:vAlign w:val="center"/>
          </w:tcPr>
          <w:p w14:paraId="337A6C62">
            <w:pPr>
              <w:widowControl w:val="0"/>
              <w:kinsoku/>
              <w:autoSpaceDE/>
              <w:autoSpaceDN/>
              <w:adjustRightInd/>
              <w:snapToGrid/>
              <w:spacing w:line="240" w:lineRule="auto"/>
              <w:jc w:val="center"/>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snapToGrid/>
                <w:color w:val="auto"/>
                <w:kern w:val="2"/>
                <w:sz w:val="21"/>
                <w:szCs w:val="21"/>
                <w:highlight w:val="none"/>
                <w:u w:val="none"/>
                <w:lang w:eastAsia="zh-CN"/>
              </w:rPr>
              <w:t>250</w:t>
            </w:r>
          </w:p>
        </w:tc>
      </w:tr>
      <w:tr w14:paraId="20B1B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2" w:type="dxa"/>
            <w:vMerge w:val="restart"/>
            <w:shd w:val="clear" w:color="auto" w:fill="auto"/>
            <w:vAlign w:val="center"/>
          </w:tcPr>
          <w:p w14:paraId="3A0791BF">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snapToGrid w:val="0"/>
                <w:color w:val="auto"/>
                <w:kern w:val="0"/>
                <w:sz w:val="21"/>
                <w:szCs w:val="21"/>
                <w:u w:val="none"/>
                <w:lang w:val="en-US" w:eastAsia="zh-CN" w:bidi="ar-SA"/>
              </w:rPr>
            </w:pPr>
            <w:r>
              <w:rPr>
                <w:rFonts w:hint="eastAsia" w:ascii="仿宋" w:hAnsi="仿宋" w:eastAsia="仿宋" w:cs="仿宋"/>
                <w:b w:val="0"/>
                <w:bCs w:val="0"/>
                <w:color w:val="auto"/>
                <w:sz w:val="21"/>
                <w:szCs w:val="21"/>
                <w:u w:val="none"/>
                <w:lang w:val="en-US" w:eastAsia="zh-CN"/>
              </w:rPr>
              <w:t>13</w:t>
            </w:r>
          </w:p>
        </w:tc>
        <w:tc>
          <w:tcPr>
            <w:tcW w:w="1458" w:type="dxa"/>
            <w:vMerge w:val="restart"/>
            <w:vAlign w:val="center"/>
          </w:tcPr>
          <w:p w14:paraId="1A3F4B9D">
            <w:pPr>
              <w:widowControl w:val="0"/>
              <w:kinsoku/>
              <w:autoSpaceDE/>
              <w:autoSpaceDN/>
              <w:adjustRightInd/>
              <w:snapToGrid/>
              <w:spacing w:line="240" w:lineRule="auto"/>
              <w:jc w:val="center"/>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snapToGrid/>
                <w:color w:val="auto"/>
                <w:kern w:val="2"/>
                <w:sz w:val="21"/>
                <w:szCs w:val="21"/>
                <w:highlight w:val="none"/>
                <w:u w:val="none"/>
                <w:lang w:eastAsia="zh-CN"/>
              </w:rPr>
              <w:t>总氮</w:t>
            </w:r>
          </w:p>
        </w:tc>
        <w:tc>
          <w:tcPr>
            <w:tcW w:w="1590" w:type="dxa"/>
            <w:vAlign w:val="center"/>
          </w:tcPr>
          <w:p w14:paraId="72AF41BF">
            <w:pPr>
              <w:widowControl w:val="0"/>
              <w:kinsoku/>
              <w:autoSpaceDE/>
              <w:autoSpaceDN/>
              <w:adjustRightInd/>
              <w:snapToGrid/>
              <w:spacing w:line="240" w:lineRule="auto"/>
              <w:jc w:val="center"/>
              <w:textAlignment w:val="auto"/>
              <w:rPr>
                <w:rFonts w:hint="eastAsia" w:ascii="仿宋" w:hAnsi="仿宋" w:eastAsia="仿宋" w:cs="仿宋"/>
                <w:b w:val="0"/>
                <w:bCs w:val="0"/>
                <w:color w:val="auto"/>
                <w:sz w:val="21"/>
                <w:szCs w:val="21"/>
                <w:u w:val="none"/>
              </w:rPr>
            </w:pPr>
            <w:r>
              <w:rPr>
                <w:rFonts w:hint="eastAsia" w:ascii="仿宋" w:hAnsi="仿宋" w:eastAsia="仿宋" w:cs="仿宋"/>
                <w:b w:val="0"/>
                <w:bCs w:val="0"/>
                <w:snapToGrid/>
                <w:color w:val="auto"/>
                <w:kern w:val="2"/>
                <w:sz w:val="21"/>
                <w:szCs w:val="21"/>
                <w:highlight w:val="none"/>
                <w:u w:val="none"/>
                <w:lang w:eastAsia="zh-CN"/>
              </w:rPr>
              <w:t>P或G</w:t>
            </w:r>
          </w:p>
        </w:tc>
        <w:tc>
          <w:tcPr>
            <w:tcW w:w="2115" w:type="dxa"/>
            <w:vAlign w:val="center"/>
          </w:tcPr>
          <w:p w14:paraId="10E884FD">
            <w:pPr>
              <w:widowControl w:val="0"/>
              <w:kinsoku/>
              <w:autoSpaceDE/>
              <w:autoSpaceDN/>
              <w:adjustRightInd/>
              <w:snapToGrid/>
              <w:spacing w:line="240" w:lineRule="auto"/>
              <w:jc w:val="center"/>
              <w:textAlignment w:val="auto"/>
              <w:rPr>
                <w:rFonts w:hint="eastAsia" w:ascii="仿宋" w:hAnsi="仿宋" w:eastAsia="仿宋" w:cs="仿宋"/>
                <w:b w:val="0"/>
                <w:bCs w:val="0"/>
                <w:color w:val="auto"/>
                <w:sz w:val="21"/>
                <w:szCs w:val="21"/>
                <w:u w:val="none"/>
              </w:rPr>
            </w:pPr>
            <w:r>
              <w:rPr>
                <w:rFonts w:hint="eastAsia" w:ascii="仿宋" w:hAnsi="仿宋" w:eastAsia="仿宋" w:cs="仿宋"/>
                <w:b w:val="0"/>
                <w:bCs w:val="0"/>
                <w:snapToGrid/>
                <w:color w:val="auto"/>
                <w:kern w:val="2"/>
                <w:sz w:val="21"/>
                <w:szCs w:val="21"/>
                <w:highlight w:val="none"/>
                <w:u w:val="none"/>
                <w:lang w:val="en-US" w:eastAsia="zh-CN"/>
              </w:rPr>
              <w:t>用</w:t>
            </w:r>
            <w:r>
              <w:rPr>
                <w:rFonts w:hint="eastAsia" w:ascii="仿宋" w:hAnsi="仿宋" w:eastAsia="仿宋" w:cs="仿宋"/>
                <w:b w:val="0"/>
                <w:bCs w:val="0"/>
                <w:snapToGrid/>
                <w:color w:val="auto"/>
                <w:kern w:val="2"/>
                <w:sz w:val="21"/>
                <w:szCs w:val="21"/>
                <w:highlight w:val="none"/>
                <w:u w:val="none"/>
                <w:lang w:val="zh-CN" w:eastAsia="zh-CN"/>
              </w:rPr>
              <w:t>H</w:t>
            </w:r>
            <w:r>
              <w:rPr>
                <w:rFonts w:hint="eastAsia" w:ascii="仿宋" w:hAnsi="仿宋" w:eastAsia="仿宋" w:cs="仿宋"/>
                <w:b w:val="0"/>
                <w:bCs w:val="0"/>
                <w:snapToGrid/>
                <w:color w:val="auto"/>
                <w:kern w:val="2"/>
                <w:sz w:val="21"/>
                <w:szCs w:val="21"/>
                <w:highlight w:val="none"/>
                <w:u w:val="none"/>
                <w:vertAlign w:val="subscript"/>
                <w:lang w:val="zh-CN" w:eastAsia="zh-CN"/>
              </w:rPr>
              <w:t>2</w:t>
            </w:r>
            <w:r>
              <w:rPr>
                <w:rFonts w:hint="eastAsia" w:ascii="仿宋" w:hAnsi="仿宋" w:eastAsia="仿宋" w:cs="仿宋"/>
                <w:b w:val="0"/>
                <w:bCs w:val="0"/>
                <w:snapToGrid/>
                <w:color w:val="auto"/>
                <w:kern w:val="2"/>
                <w:sz w:val="21"/>
                <w:szCs w:val="21"/>
                <w:highlight w:val="none"/>
                <w:u w:val="none"/>
                <w:lang w:val="zh-CN" w:eastAsia="zh-CN"/>
              </w:rPr>
              <w:t>SO</w:t>
            </w:r>
            <w:r>
              <w:rPr>
                <w:rFonts w:hint="eastAsia" w:ascii="仿宋" w:hAnsi="仿宋" w:eastAsia="仿宋" w:cs="仿宋"/>
                <w:b w:val="0"/>
                <w:bCs w:val="0"/>
                <w:snapToGrid/>
                <w:color w:val="auto"/>
                <w:kern w:val="2"/>
                <w:sz w:val="21"/>
                <w:szCs w:val="21"/>
                <w:highlight w:val="none"/>
                <w:u w:val="none"/>
                <w:vertAlign w:val="subscript"/>
                <w:lang w:val="zh-CN" w:eastAsia="zh-CN"/>
              </w:rPr>
              <w:t>4</w:t>
            </w:r>
            <w:r>
              <w:rPr>
                <w:rFonts w:hint="eastAsia" w:ascii="仿宋" w:hAnsi="仿宋" w:eastAsia="仿宋" w:cs="仿宋"/>
                <w:b w:val="0"/>
                <w:bCs w:val="0"/>
                <w:snapToGrid/>
                <w:color w:val="auto"/>
                <w:kern w:val="2"/>
                <w:sz w:val="21"/>
                <w:szCs w:val="21"/>
                <w:highlight w:val="none"/>
                <w:u w:val="none"/>
                <w:vertAlign w:val="baseline"/>
                <w:lang w:val="en-US" w:eastAsia="zh-CN"/>
              </w:rPr>
              <w:t>酸化</w:t>
            </w:r>
            <w:r>
              <w:rPr>
                <w:rFonts w:hint="eastAsia" w:ascii="仿宋" w:hAnsi="仿宋" w:eastAsia="仿宋" w:cs="仿宋"/>
                <w:b w:val="0"/>
                <w:bCs w:val="0"/>
                <w:snapToGrid/>
                <w:color w:val="auto"/>
                <w:kern w:val="2"/>
                <w:sz w:val="21"/>
                <w:szCs w:val="21"/>
                <w:highlight w:val="none"/>
                <w:u w:val="none"/>
                <w:lang w:val="zh-CN" w:eastAsia="zh-CN"/>
              </w:rPr>
              <w:t>，pH≤2</w:t>
            </w:r>
          </w:p>
        </w:tc>
        <w:tc>
          <w:tcPr>
            <w:tcW w:w="1110" w:type="dxa"/>
            <w:vAlign w:val="center"/>
          </w:tcPr>
          <w:p w14:paraId="396CFF04">
            <w:pPr>
              <w:widowControl w:val="0"/>
              <w:kinsoku/>
              <w:autoSpaceDE/>
              <w:autoSpaceDN/>
              <w:adjustRightInd/>
              <w:snapToGrid/>
              <w:spacing w:line="240" w:lineRule="auto"/>
              <w:jc w:val="center"/>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snapToGrid/>
                <w:color w:val="auto"/>
                <w:kern w:val="2"/>
                <w:sz w:val="21"/>
                <w:szCs w:val="21"/>
                <w:highlight w:val="none"/>
                <w:u w:val="none"/>
                <w:lang w:eastAsia="zh-CN"/>
              </w:rPr>
              <w:t>7d</w:t>
            </w:r>
          </w:p>
        </w:tc>
        <w:tc>
          <w:tcPr>
            <w:tcW w:w="1758" w:type="dxa"/>
            <w:vAlign w:val="center"/>
          </w:tcPr>
          <w:p w14:paraId="3BDD2026">
            <w:pPr>
              <w:widowControl w:val="0"/>
              <w:kinsoku/>
              <w:autoSpaceDE/>
              <w:autoSpaceDN/>
              <w:adjustRightInd/>
              <w:snapToGrid/>
              <w:spacing w:line="240" w:lineRule="auto"/>
              <w:jc w:val="center"/>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snapToGrid/>
                <w:color w:val="auto"/>
                <w:kern w:val="2"/>
                <w:sz w:val="21"/>
                <w:szCs w:val="21"/>
                <w:highlight w:val="none"/>
                <w:u w:val="none"/>
                <w:lang w:eastAsia="zh-CN"/>
              </w:rPr>
              <w:t>250</w:t>
            </w:r>
          </w:p>
        </w:tc>
      </w:tr>
      <w:tr w14:paraId="50DA6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2" w:type="dxa"/>
            <w:vMerge w:val="continue"/>
            <w:shd w:val="clear" w:color="auto" w:fill="auto"/>
            <w:vAlign w:val="center"/>
          </w:tcPr>
          <w:p w14:paraId="66897E4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snapToGrid w:val="0"/>
                <w:color w:val="auto"/>
                <w:kern w:val="0"/>
                <w:sz w:val="21"/>
                <w:szCs w:val="21"/>
                <w:u w:val="none"/>
                <w:lang w:val="en-US" w:eastAsia="zh-CN" w:bidi="ar-SA"/>
              </w:rPr>
            </w:pPr>
          </w:p>
        </w:tc>
        <w:tc>
          <w:tcPr>
            <w:tcW w:w="1458" w:type="dxa"/>
            <w:vMerge w:val="continue"/>
            <w:vAlign w:val="center"/>
          </w:tcPr>
          <w:p w14:paraId="67245991">
            <w:pPr>
              <w:widowControl w:val="0"/>
              <w:kinsoku/>
              <w:autoSpaceDE/>
              <w:autoSpaceDN/>
              <w:adjustRightInd/>
              <w:snapToGrid/>
              <w:spacing w:line="240" w:lineRule="auto"/>
              <w:jc w:val="center"/>
              <w:textAlignment w:val="auto"/>
              <w:rPr>
                <w:rFonts w:hint="eastAsia" w:ascii="仿宋" w:hAnsi="仿宋" w:eastAsia="仿宋" w:cs="仿宋"/>
                <w:b w:val="0"/>
                <w:bCs w:val="0"/>
                <w:color w:val="auto"/>
                <w:sz w:val="21"/>
                <w:szCs w:val="21"/>
                <w:u w:val="none"/>
                <w:lang w:val="en-US" w:eastAsia="zh-CN"/>
              </w:rPr>
            </w:pPr>
          </w:p>
        </w:tc>
        <w:tc>
          <w:tcPr>
            <w:tcW w:w="1590" w:type="dxa"/>
            <w:vAlign w:val="center"/>
          </w:tcPr>
          <w:p w14:paraId="67DD6710">
            <w:pPr>
              <w:widowControl w:val="0"/>
              <w:kinsoku/>
              <w:autoSpaceDE/>
              <w:autoSpaceDN/>
              <w:adjustRightInd/>
              <w:snapToGrid/>
              <w:spacing w:line="240" w:lineRule="auto"/>
              <w:jc w:val="center"/>
              <w:textAlignment w:val="auto"/>
              <w:rPr>
                <w:rFonts w:hint="eastAsia" w:ascii="仿宋" w:hAnsi="仿宋" w:eastAsia="仿宋" w:cs="仿宋"/>
                <w:b w:val="0"/>
                <w:bCs w:val="0"/>
                <w:color w:val="auto"/>
                <w:sz w:val="21"/>
                <w:szCs w:val="21"/>
                <w:u w:val="none"/>
              </w:rPr>
            </w:pPr>
            <w:r>
              <w:rPr>
                <w:rFonts w:hint="eastAsia" w:ascii="仿宋" w:hAnsi="仿宋" w:eastAsia="仿宋" w:cs="仿宋"/>
                <w:b w:val="0"/>
                <w:bCs w:val="0"/>
                <w:snapToGrid/>
                <w:color w:val="auto"/>
                <w:kern w:val="2"/>
                <w:sz w:val="21"/>
                <w:szCs w:val="21"/>
                <w:highlight w:val="none"/>
                <w:u w:val="none"/>
                <w:lang w:eastAsia="zh-CN"/>
              </w:rPr>
              <w:t>P</w:t>
            </w:r>
          </w:p>
        </w:tc>
        <w:tc>
          <w:tcPr>
            <w:tcW w:w="2115" w:type="dxa"/>
            <w:vAlign w:val="center"/>
          </w:tcPr>
          <w:p w14:paraId="782251D8">
            <w:pPr>
              <w:widowControl w:val="0"/>
              <w:kinsoku/>
              <w:autoSpaceDE/>
              <w:autoSpaceDN/>
              <w:adjustRightInd/>
              <w:snapToGrid/>
              <w:spacing w:line="240" w:lineRule="auto"/>
              <w:jc w:val="center"/>
              <w:textAlignment w:val="auto"/>
              <w:rPr>
                <w:rFonts w:hint="eastAsia" w:ascii="仿宋" w:hAnsi="仿宋" w:eastAsia="仿宋" w:cs="仿宋"/>
                <w:b w:val="0"/>
                <w:bCs w:val="0"/>
                <w:color w:val="auto"/>
                <w:sz w:val="21"/>
                <w:szCs w:val="21"/>
                <w:u w:val="none"/>
              </w:rPr>
            </w:pPr>
            <w:r>
              <w:rPr>
                <w:rFonts w:hint="eastAsia" w:ascii="仿宋" w:hAnsi="仿宋" w:eastAsia="仿宋" w:cs="仿宋"/>
                <w:b w:val="0"/>
                <w:bCs w:val="0"/>
                <w:snapToGrid/>
                <w:color w:val="auto"/>
                <w:kern w:val="2"/>
                <w:sz w:val="21"/>
                <w:szCs w:val="21"/>
                <w:highlight w:val="none"/>
                <w:u w:val="none"/>
                <w:lang w:val="zh-CN" w:eastAsia="zh-CN"/>
              </w:rPr>
              <w:t>-20℃冷冻</w:t>
            </w:r>
          </w:p>
        </w:tc>
        <w:tc>
          <w:tcPr>
            <w:tcW w:w="1110" w:type="dxa"/>
            <w:vAlign w:val="center"/>
          </w:tcPr>
          <w:p w14:paraId="512C0ADC">
            <w:pPr>
              <w:widowControl w:val="0"/>
              <w:kinsoku/>
              <w:autoSpaceDE/>
              <w:autoSpaceDN/>
              <w:adjustRightInd/>
              <w:snapToGrid/>
              <w:spacing w:line="240" w:lineRule="auto"/>
              <w:jc w:val="center"/>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snapToGrid/>
                <w:color w:val="auto"/>
                <w:kern w:val="2"/>
                <w:sz w:val="21"/>
                <w:szCs w:val="21"/>
                <w:highlight w:val="none"/>
                <w:u w:val="none"/>
                <w:lang w:val="en-US" w:eastAsia="zh-CN"/>
              </w:rPr>
              <w:t>1月</w:t>
            </w:r>
          </w:p>
        </w:tc>
        <w:tc>
          <w:tcPr>
            <w:tcW w:w="1758" w:type="dxa"/>
            <w:vAlign w:val="center"/>
          </w:tcPr>
          <w:p w14:paraId="337B3A74">
            <w:pPr>
              <w:widowControl w:val="0"/>
              <w:kinsoku/>
              <w:autoSpaceDE/>
              <w:autoSpaceDN/>
              <w:adjustRightInd/>
              <w:snapToGrid/>
              <w:spacing w:line="240" w:lineRule="auto"/>
              <w:jc w:val="center"/>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snapToGrid/>
                <w:color w:val="auto"/>
                <w:kern w:val="2"/>
                <w:sz w:val="21"/>
                <w:szCs w:val="21"/>
                <w:highlight w:val="none"/>
                <w:u w:val="none"/>
                <w:lang w:eastAsia="zh-CN"/>
              </w:rPr>
              <w:t>500</w:t>
            </w:r>
          </w:p>
        </w:tc>
      </w:tr>
      <w:tr w14:paraId="39C06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2" w:type="dxa"/>
            <w:shd w:val="clear" w:color="auto" w:fill="auto"/>
            <w:vAlign w:val="center"/>
          </w:tcPr>
          <w:p w14:paraId="1886095B">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snapToGrid w:val="0"/>
                <w:color w:val="auto"/>
                <w:kern w:val="0"/>
                <w:sz w:val="21"/>
                <w:szCs w:val="21"/>
                <w:u w:val="none"/>
                <w:lang w:val="en-US" w:eastAsia="zh-CN" w:bidi="ar-SA"/>
              </w:rPr>
            </w:pPr>
            <w:r>
              <w:rPr>
                <w:rFonts w:hint="eastAsia" w:ascii="仿宋" w:hAnsi="仿宋" w:eastAsia="仿宋" w:cs="仿宋"/>
                <w:b w:val="0"/>
                <w:bCs w:val="0"/>
                <w:color w:val="auto"/>
                <w:sz w:val="21"/>
                <w:szCs w:val="21"/>
                <w:u w:val="none"/>
              </w:rPr>
              <w:t>1</w:t>
            </w:r>
            <w:r>
              <w:rPr>
                <w:rFonts w:hint="eastAsia" w:ascii="仿宋" w:hAnsi="仿宋" w:eastAsia="仿宋" w:cs="仿宋"/>
                <w:b w:val="0"/>
                <w:bCs w:val="0"/>
                <w:color w:val="auto"/>
                <w:sz w:val="21"/>
                <w:szCs w:val="21"/>
                <w:u w:val="none"/>
                <w:lang w:val="en-US" w:eastAsia="zh-CN"/>
              </w:rPr>
              <w:t>4</w:t>
            </w:r>
          </w:p>
        </w:tc>
        <w:tc>
          <w:tcPr>
            <w:tcW w:w="1458" w:type="dxa"/>
            <w:vAlign w:val="center"/>
          </w:tcPr>
          <w:p w14:paraId="69A5EDE4">
            <w:pPr>
              <w:widowControl w:val="0"/>
              <w:kinsoku/>
              <w:autoSpaceDE/>
              <w:autoSpaceDN/>
              <w:adjustRightInd/>
              <w:snapToGrid/>
              <w:spacing w:line="240" w:lineRule="auto"/>
              <w:jc w:val="center"/>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snapToGrid/>
                <w:color w:val="auto"/>
                <w:kern w:val="2"/>
                <w:sz w:val="21"/>
                <w:szCs w:val="21"/>
                <w:highlight w:val="none"/>
                <w:u w:val="none"/>
                <w:lang w:eastAsia="zh-CN"/>
              </w:rPr>
              <w:t>总磷</w:t>
            </w:r>
          </w:p>
        </w:tc>
        <w:tc>
          <w:tcPr>
            <w:tcW w:w="1590" w:type="dxa"/>
            <w:vAlign w:val="center"/>
          </w:tcPr>
          <w:p w14:paraId="281F022A">
            <w:pPr>
              <w:widowControl w:val="0"/>
              <w:kinsoku/>
              <w:autoSpaceDE/>
              <w:autoSpaceDN/>
              <w:adjustRightInd/>
              <w:snapToGrid/>
              <w:spacing w:line="240" w:lineRule="auto"/>
              <w:jc w:val="center"/>
              <w:textAlignment w:val="auto"/>
              <w:rPr>
                <w:rFonts w:hint="eastAsia" w:ascii="仿宋" w:hAnsi="仿宋" w:eastAsia="仿宋" w:cs="仿宋"/>
                <w:b w:val="0"/>
                <w:bCs w:val="0"/>
                <w:color w:val="auto"/>
                <w:sz w:val="21"/>
                <w:szCs w:val="21"/>
                <w:u w:val="none"/>
              </w:rPr>
            </w:pPr>
            <w:r>
              <w:rPr>
                <w:rFonts w:hint="eastAsia" w:ascii="仿宋" w:hAnsi="仿宋" w:eastAsia="仿宋" w:cs="仿宋"/>
                <w:b w:val="0"/>
                <w:bCs w:val="0"/>
                <w:snapToGrid/>
                <w:color w:val="auto"/>
                <w:kern w:val="2"/>
                <w:sz w:val="21"/>
                <w:szCs w:val="21"/>
                <w:highlight w:val="none"/>
                <w:u w:val="none"/>
                <w:lang w:eastAsia="zh-CN"/>
              </w:rPr>
              <w:t>P或G</w:t>
            </w:r>
          </w:p>
        </w:tc>
        <w:tc>
          <w:tcPr>
            <w:tcW w:w="2115" w:type="dxa"/>
            <w:vAlign w:val="center"/>
          </w:tcPr>
          <w:p w14:paraId="13B19B21">
            <w:pPr>
              <w:widowControl w:val="0"/>
              <w:kinsoku/>
              <w:autoSpaceDE/>
              <w:autoSpaceDN/>
              <w:adjustRightInd/>
              <w:snapToGrid/>
              <w:spacing w:line="240" w:lineRule="auto"/>
              <w:jc w:val="center"/>
              <w:textAlignment w:val="auto"/>
              <w:rPr>
                <w:rFonts w:hint="eastAsia" w:ascii="仿宋" w:hAnsi="仿宋" w:eastAsia="仿宋" w:cs="仿宋"/>
                <w:b w:val="0"/>
                <w:bCs w:val="0"/>
                <w:color w:val="auto"/>
                <w:sz w:val="21"/>
                <w:szCs w:val="21"/>
                <w:u w:val="none"/>
              </w:rPr>
            </w:pPr>
            <w:r>
              <w:rPr>
                <w:rFonts w:hint="eastAsia" w:ascii="仿宋" w:hAnsi="仿宋" w:eastAsia="仿宋" w:cs="仿宋"/>
                <w:b w:val="0"/>
                <w:bCs w:val="0"/>
                <w:snapToGrid/>
                <w:color w:val="auto"/>
                <w:kern w:val="2"/>
                <w:sz w:val="21"/>
                <w:szCs w:val="21"/>
                <w:highlight w:val="none"/>
                <w:u w:val="none"/>
                <w:lang w:val="en-US" w:eastAsia="zh-CN"/>
              </w:rPr>
              <w:t>用</w:t>
            </w:r>
            <w:r>
              <w:rPr>
                <w:rFonts w:hint="eastAsia" w:ascii="仿宋" w:hAnsi="仿宋" w:eastAsia="仿宋" w:cs="仿宋"/>
                <w:b w:val="0"/>
                <w:bCs w:val="0"/>
                <w:snapToGrid/>
                <w:color w:val="auto"/>
                <w:kern w:val="2"/>
                <w:sz w:val="21"/>
                <w:szCs w:val="21"/>
                <w:highlight w:val="none"/>
                <w:u w:val="none"/>
                <w:lang w:val="zh-CN" w:eastAsia="zh-CN"/>
              </w:rPr>
              <w:t>H</w:t>
            </w:r>
            <w:r>
              <w:rPr>
                <w:rFonts w:hint="eastAsia" w:ascii="仿宋" w:hAnsi="仿宋" w:eastAsia="仿宋" w:cs="仿宋"/>
                <w:b w:val="0"/>
                <w:bCs w:val="0"/>
                <w:snapToGrid/>
                <w:color w:val="auto"/>
                <w:kern w:val="2"/>
                <w:sz w:val="21"/>
                <w:szCs w:val="21"/>
                <w:highlight w:val="none"/>
                <w:u w:val="none"/>
                <w:vertAlign w:val="subscript"/>
                <w:lang w:val="zh-CN" w:eastAsia="zh-CN"/>
              </w:rPr>
              <w:t>2</w:t>
            </w:r>
            <w:r>
              <w:rPr>
                <w:rFonts w:hint="eastAsia" w:ascii="仿宋" w:hAnsi="仿宋" w:eastAsia="仿宋" w:cs="仿宋"/>
                <w:b w:val="0"/>
                <w:bCs w:val="0"/>
                <w:snapToGrid/>
                <w:color w:val="auto"/>
                <w:kern w:val="2"/>
                <w:sz w:val="21"/>
                <w:szCs w:val="21"/>
                <w:highlight w:val="none"/>
                <w:u w:val="none"/>
                <w:lang w:val="zh-CN" w:eastAsia="zh-CN"/>
              </w:rPr>
              <w:t>SO</w:t>
            </w:r>
            <w:r>
              <w:rPr>
                <w:rFonts w:hint="eastAsia" w:ascii="仿宋" w:hAnsi="仿宋" w:eastAsia="仿宋" w:cs="仿宋"/>
                <w:b w:val="0"/>
                <w:bCs w:val="0"/>
                <w:snapToGrid/>
                <w:color w:val="auto"/>
                <w:kern w:val="2"/>
                <w:sz w:val="21"/>
                <w:szCs w:val="21"/>
                <w:highlight w:val="none"/>
                <w:u w:val="none"/>
                <w:vertAlign w:val="subscript"/>
                <w:lang w:val="zh-CN" w:eastAsia="zh-CN"/>
              </w:rPr>
              <w:t>4</w:t>
            </w:r>
            <w:r>
              <w:rPr>
                <w:rFonts w:hint="eastAsia" w:ascii="仿宋" w:hAnsi="仿宋" w:eastAsia="仿宋" w:cs="仿宋"/>
                <w:b w:val="0"/>
                <w:bCs w:val="0"/>
                <w:snapToGrid/>
                <w:color w:val="auto"/>
                <w:kern w:val="2"/>
                <w:sz w:val="21"/>
                <w:szCs w:val="21"/>
                <w:highlight w:val="none"/>
                <w:u w:val="none"/>
                <w:vertAlign w:val="baseline"/>
                <w:lang w:val="en-US" w:eastAsia="zh-CN"/>
              </w:rPr>
              <w:t>酸化</w:t>
            </w:r>
            <w:r>
              <w:rPr>
                <w:rFonts w:hint="eastAsia" w:ascii="仿宋" w:hAnsi="仿宋" w:eastAsia="仿宋" w:cs="仿宋"/>
                <w:b w:val="0"/>
                <w:bCs w:val="0"/>
                <w:snapToGrid/>
                <w:color w:val="auto"/>
                <w:kern w:val="2"/>
                <w:sz w:val="21"/>
                <w:szCs w:val="21"/>
                <w:highlight w:val="none"/>
                <w:u w:val="none"/>
                <w:lang w:val="zh-CN" w:eastAsia="zh-CN"/>
              </w:rPr>
              <w:t>，</w:t>
            </w:r>
            <w:r>
              <w:rPr>
                <w:rFonts w:hint="eastAsia" w:ascii="仿宋" w:hAnsi="仿宋" w:eastAsia="仿宋" w:cs="仿宋"/>
                <w:b w:val="0"/>
                <w:bCs w:val="0"/>
                <w:snapToGrid/>
                <w:color w:val="auto"/>
                <w:kern w:val="2"/>
                <w:sz w:val="21"/>
                <w:szCs w:val="21"/>
                <w:highlight w:val="none"/>
                <w:u w:val="none"/>
                <w:lang w:val="en-US" w:eastAsia="zh-CN"/>
              </w:rPr>
              <w:t>HCl酸化至</w:t>
            </w:r>
            <w:r>
              <w:rPr>
                <w:rFonts w:hint="eastAsia" w:ascii="仿宋" w:hAnsi="仿宋" w:eastAsia="仿宋" w:cs="仿宋"/>
                <w:b w:val="0"/>
                <w:bCs w:val="0"/>
                <w:snapToGrid/>
                <w:color w:val="auto"/>
                <w:kern w:val="2"/>
                <w:sz w:val="21"/>
                <w:szCs w:val="21"/>
                <w:highlight w:val="none"/>
                <w:u w:val="none"/>
                <w:lang w:val="zh-CN" w:eastAsia="zh-CN"/>
              </w:rPr>
              <w:t>pH≤2</w:t>
            </w:r>
          </w:p>
        </w:tc>
        <w:tc>
          <w:tcPr>
            <w:tcW w:w="1110" w:type="dxa"/>
            <w:vAlign w:val="center"/>
          </w:tcPr>
          <w:p w14:paraId="6B23881A">
            <w:pPr>
              <w:widowControl w:val="0"/>
              <w:kinsoku/>
              <w:autoSpaceDE/>
              <w:autoSpaceDN/>
              <w:adjustRightInd/>
              <w:snapToGrid/>
              <w:spacing w:line="240" w:lineRule="auto"/>
              <w:jc w:val="center"/>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snapToGrid/>
                <w:color w:val="auto"/>
                <w:kern w:val="2"/>
                <w:sz w:val="21"/>
                <w:szCs w:val="21"/>
                <w:highlight w:val="none"/>
                <w:u w:val="none"/>
                <w:lang w:eastAsia="zh-CN"/>
              </w:rPr>
              <w:t>24h</w:t>
            </w:r>
          </w:p>
        </w:tc>
        <w:tc>
          <w:tcPr>
            <w:tcW w:w="1758" w:type="dxa"/>
            <w:vAlign w:val="center"/>
          </w:tcPr>
          <w:p w14:paraId="432C14EC">
            <w:pPr>
              <w:widowControl w:val="0"/>
              <w:kinsoku/>
              <w:autoSpaceDE/>
              <w:autoSpaceDN/>
              <w:adjustRightInd/>
              <w:snapToGrid/>
              <w:spacing w:line="240" w:lineRule="auto"/>
              <w:jc w:val="center"/>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snapToGrid/>
                <w:color w:val="auto"/>
                <w:kern w:val="2"/>
                <w:sz w:val="21"/>
                <w:szCs w:val="21"/>
                <w:highlight w:val="none"/>
                <w:u w:val="none"/>
                <w:lang w:eastAsia="zh-CN"/>
              </w:rPr>
              <w:t>250</w:t>
            </w:r>
          </w:p>
        </w:tc>
      </w:tr>
      <w:tr w14:paraId="427AE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92" w:type="dxa"/>
            <w:shd w:val="clear" w:color="auto" w:fill="auto"/>
            <w:vAlign w:val="center"/>
          </w:tcPr>
          <w:p w14:paraId="7764102C">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snapToGrid w:val="0"/>
                <w:color w:val="auto"/>
                <w:kern w:val="0"/>
                <w:sz w:val="21"/>
                <w:szCs w:val="21"/>
                <w:u w:val="none"/>
                <w:lang w:val="en-US" w:eastAsia="zh-CN" w:bidi="ar-SA"/>
              </w:rPr>
            </w:pPr>
            <w:r>
              <w:rPr>
                <w:rFonts w:hint="eastAsia" w:ascii="仿宋" w:hAnsi="仿宋" w:eastAsia="仿宋" w:cs="仿宋"/>
                <w:b w:val="0"/>
                <w:bCs w:val="0"/>
                <w:color w:val="auto"/>
                <w:sz w:val="21"/>
                <w:szCs w:val="21"/>
                <w:u w:val="none"/>
              </w:rPr>
              <w:t>1</w:t>
            </w:r>
            <w:r>
              <w:rPr>
                <w:rFonts w:hint="eastAsia" w:ascii="仿宋" w:hAnsi="仿宋" w:eastAsia="仿宋" w:cs="仿宋"/>
                <w:b w:val="0"/>
                <w:bCs w:val="0"/>
                <w:color w:val="auto"/>
                <w:sz w:val="21"/>
                <w:szCs w:val="21"/>
                <w:u w:val="none"/>
                <w:lang w:val="en-US" w:eastAsia="zh-CN"/>
              </w:rPr>
              <w:t>5</w:t>
            </w:r>
          </w:p>
        </w:tc>
        <w:tc>
          <w:tcPr>
            <w:tcW w:w="1458" w:type="dxa"/>
            <w:vAlign w:val="center"/>
          </w:tcPr>
          <w:p w14:paraId="3EBDE10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颗粒物</w:t>
            </w:r>
          </w:p>
        </w:tc>
        <w:tc>
          <w:tcPr>
            <w:tcW w:w="1590" w:type="dxa"/>
            <w:vAlign w:val="center"/>
          </w:tcPr>
          <w:p w14:paraId="325E27F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滤膜</w:t>
            </w:r>
          </w:p>
        </w:tc>
        <w:tc>
          <w:tcPr>
            <w:tcW w:w="2115" w:type="dxa"/>
            <w:vAlign w:val="center"/>
          </w:tcPr>
          <w:p w14:paraId="1FAA510A">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w:t>
            </w:r>
          </w:p>
        </w:tc>
        <w:tc>
          <w:tcPr>
            <w:tcW w:w="1110" w:type="dxa"/>
            <w:vAlign w:val="center"/>
          </w:tcPr>
          <w:p w14:paraId="52E18CA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w:t>
            </w:r>
          </w:p>
        </w:tc>
        <w:tc>
          <w:tcPr>
            <w:tcW w:w="1758" w:type="dxa"/>
            <w:vAlign w:val="center"/>
          </w:tcPr>
          <w:p w14:paraId="74951A0C">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w:t>
            </w:r>
          </w:p>
        </w:tc>
      </w:tr>
      <w:tr w14:paraId="52C8E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92" w:type="dxa"/>
            <w:shd w:val="clear" w:color="auto" w:fill="auto"/>
            <w:vAlign w:val="center"/>
          </w:tcPr>
          <w:p w14:paraId="08C30A56">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snapToGrid w:val="0"/>
                <w:color w:val="auto"/>
                <w:kern w:val="0"/>
                <w:sz w:val="21"/>
                <w:szCs w:val="21"/>
                <w:u w:val="none"/>
                <w:lang w:val="en-US" w:eastAsia="zh-CN" w:bidi="ar-SA"/>
              </w:rPr>
            </w:pPr>
            <w:r>
              <w:rPr>
                <w:rFonts w:hint="eastAsia" w:ascii="仿宋" w:hAnsi="仿宋" w:eastAsia="仿宋" w:cs="仿宋"/>
                <w:b w:val="0"/>
                <w:bCs w:val="0"/>
                <w:color w:val="auto"/>
                <w:sz w:val="21"/>
                <w:szCs w:val="21"/>
                <w:u w:val="none"/>
              </w:rPr>
              <w:t>1</w:t>
            </w:r>
            <w:r>
              <w:rPr>
                <w:rFonts w:hint="eastAsia" w:ascii="仿宋" w:hAnsi="仿宋" w:eastAsia="仿宋" w:cs="仿宋"/>
                <w:b w:val="0"/>
                <w:bCs w:val="0"/>
                <w:color w:val="auto"/>
                <w:sz w:val="21"/>
                <w:szCs w:val="21"/>
                <w:u w:val="none"/>
                <w:lang w:val="en-US" w:eastAsia="zh-CN"/>
              </w:rPr>
              <w:t>6</w:t>
            </w:r>
          </w:p>
        </w:tc>
        <w:tc>
          <w:tcPr>
            <w:tcW w:w="1458" w:type="dxa"/>
            <w:vAlign w:val="center"/>
          </w:tcPr>
          <w:p w14:paraId="1C112D8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氨</w:t>
            </w:r>
          </w:p>
        </w:tc>
        <w:tc>
          <w:tcPr>
            <w:tcW w:w="1590" w:type="dxa"/>
            <w:vAlign w:val="center"/>
          </w:tcPr>
          <w:p w14:paraId="6990DE6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吸收液</w:t>
            </w:r>
          </w:p>
        </w:tc>
        <w:tc>
          <w:tcPr>
            <w:tcW w:w="2115" w:type="dxa"/>
            <w:vAlign w:val="center"/>
          </w:tcPr>
          <w:p w14:paraId="3743EA3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（2-5）℃冷藏</w:t>
            </w:r>
          </w:p>
        </w:tc>
        <w:tc>
          <w:tcPr>
            <w:tcW w:w="1110" w:type="dxa"/>
            <w:vAlign w:val="center"/>
          </w:tcPr>
          <w:p w14:paraId="024A582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7d</w:t>
            </w:r>
          </w:p>
        </w:tc>
        <w:tc>
          <w:tcPr>
            <w:tcW w:w="1758" w:type="dxa"/>
            <w:vAlign w:val="center"/>
          </w:tcPr>
          <w:p w14:paraId="686F2FD4">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w:t>
            </w:r>
          </w:p>
        </w:tc>
      </w:tr>
      <w:tr w14:paraId="1841B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92" w:type="dxa"/>
            <w:shd w:val="clear" w:color="auto" w:fill="auto"/>
            <w:vAlign w:val="center"/>
          </w:tcPr>
          <w:p w14:paraId="42B1B74E">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snapToGrid w:val="0"/>
                <w:color w:val="auto"/>
                <w:kern w:val="0"/>
                <w:sz w:val="21"/>
                <w:szCs w:val="21"/>
                <w:u w:val="none"/>
                <w:lang w:val="en-US" w:eastAsia="zh-CN" w:bidi="ar-SA"/>
              </w:rPr>
            </w:pPr>
            <w:r>
              <w:rPr>
                <w:rFonts w:hint="eastAsia" w:ascii="仿宋" w:hAnsi="仿宋" w:eastAsia="仿宋" w:cs="仿宋"/>
                <w:b w:val="0"/>
                <w:bCs w:val="0"/>
                <w:color w:val="auto"/>
                <w:sz w:val="21"/>
                <w:szCs w:val="21"/>
                <w:u w:val="none"/>
                <w:lang w:val="en-US" w:eastAsia="zh-CN"/>
              </w:rPr>
              <w:t>17</w:t>
            </w:r>
          </w:p>
        </w:tc>
        <w:tc>
          <w:tcPr>
            <w:tcW w:w="1458" w:type="dxa"/>
            <w:vAlign w:val="center"/>
          </w:tcPr>
          <w:p w14:paraId="33ED247C">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氯气</w:t>
            </w:r>
          </w:p>
        </w:tc>
        <w:tc>
          <w:tcPr>
            <w:tcW w:w="1590" w:type="dxa"/>
            <w:vAlign w:val="center"/>
          </w:tcPr>
          <w:p w14:paraId="6A2B0BB0">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吸收液</w:t>
            </w:r>
          </w:p>
        </w:tc>
        <w:tc>
          <w:tcPr>
            <w:tcW w:w="2115" w:type="dxa"/>
            <w:vAlign w:val="center"/>
          </w:tcPr>
          <w:p w14:paraId="7F300F77">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常温</w:t>
            </w:r>
          </w:p>
        </w:tc>
        <w:tc>
          <w:tcPr>
            <w:tcW w:w="1110" w:type="dxa"/>
            <w:vAlign w:val="center"/>
          </w:tcPr>
          <w:p w14:paraId="1C358CE8">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15d</w:t>
            </w:r>
          </w:p>
        </w:tc>
        <w:tc>
          <w:tcPr>
            <w:tcW w:w="1758" w:type="dxa"/>
            <w:vAlign w:val="center"/>
          </w:tcPr>
          <w:p w14:paraId="70B04308">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w:t>
            </w:r>
          </w:p>
        </w:tc>
      </w:tr>
      <w:tr w14:paraId="3CD98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2" w:type="dxa"/>
            <w:shd w:val="clear" w:color="auto" w:fill="auto"/>
            <w:vAlign w:val="center"/>
          </w:tcPr>
          <w:p w14:paraId="22927BF1">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snapToGrid w:val="0"/>
                <w:color w:val="auto"/>
                <w:kern w:val="0"/>
                <w:sz w:val="21"/>
                <w:szCs w:val="21"/>
                <w:u w:val="none"/>
                <w:lang w:val="en-US" w:eastAsia="zh-CN" w:bidi="ar-SA"/>
              </w:rPr>
            </w:pPr>
            <w:r>
              <w:rPr>
                <w:rFonts w:hint="eastAsia" w:ascii="仿宋" w:hAnsi="仿宋" w:eastAsia="仿宋" w:cs="仿宋"/>
                <w:b w:val="0"/>
                <w:bCs w:val="0"/>
                <w:color w:val="auto"/>
                <w:sz w:val="21"/>
                <w:szCs w:val="21"/>
                <w:u w:val="none"/>
                <w:lang w:val="en-US" w:eastAsia="zh-CN"/>
              </w:rPr>
              <w:t>18</w:t>
            </w:r>
          </w:p>
        </w:tc>
        <w:tc>
          <w:tcPr>
            <w:tcW w:w="1458" w:type="dxa"/>
            <w:vAlign w:val="center"/>
          </w:tcPr>
          <w:p w14:paraId="27DD7B9B">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硫化氢</w:t>
            </w:r>
          </w:p>
        </w:tc>
        <w:tc>
          <w:tcPr>
            <w:tcW w:w="1590" w:type="dxa"/>
            <w:vAlign w:val="center"/>
          </w:tcPr>
          <w:p w14:paraId="32AA270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吸收液</w:t>
            </w:r>
          </w:p>
        </w:tc>
        <w:tc>
          <w:tcPr>
            <w:tcW w:w="2115" w:type="dxa"/>
            <w:vAlign w:val="center"/>
          </w:tcPr>
          <w:p w14:paraId="77633CE0">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避光</w:t>
            </w:r>
          </w:p>
        </w:tc>
        <w:tc>
          <w:tcPr>
            <w:tcW w:w="1110" w:type="dxa"/>
            <w:vAlign w:val="center"/>
          </w:tcPr>
          <w:p w14:paraId="07922DBE">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24h</w:t>
            </w:r>
          </w:p>
        </w:tc>
        <w:tc>
          <w:tcPr>
            <w:tcW w:w="1758" w:type="dxa"/>
            <w:vAlign w:val="center"/>
          </w:tcPr>
          <w:p w14:paraId="68A38005">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w:t>
            </w:r>
          </w:p>
        </w:tc>
      </w:tr>
      <w:tr w14:paraId="6426C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92" w:type="dxa"/>
            <w:vAlign w:val="center"/>
          </w:tcPr>
          <w:p w14:paraId="26F9BCB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19</w:t>
            </w:r>
          </w:p>
        </w:tc>
        <w:tc>
          <w:tcPr>
            <w:tcW w:w="1458" w:type="dxa"/>
            <w:vAlign w:val="center"/>
          </w:tcPr>
          <w:p w14:paraId="6829AB0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甲烷</w:t>
            </w:r>
          </w:p>
        </w:tc>
        <w:tc>
          <w:tcPr>
            <w:tcW w:w="1590" w:type="dxa"/>
            <w:vAlign w:val="center"/>
          </w:tcPr>
          <w:p w14:paraId="156FD244">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气袋</w:t>
            </w:r>
          </w:p>
        </w:tc>
        <w:tc>
          <w:tcPr>
            <w:tcW w:w="2115" w:type="dxa"/>
            <w:vAlign w:val="center"/>
          </w:tcPr>
          <w:p w14:paraId="485907EC">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常温，避光</w:t>
            </w:r>
          </w:p>
        </w:tc>
        <w:tc>
          <w:tcPr>
            <w:tcW w:w="1110" w:type="dxa"/>
            <w:vAlign w:val="center"/>
          </w:tcPr>
          <w:p w14:paraId="3BED9F1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48h</w:t>
            </w:r>
          </w:p>
        </w:tc>
        <w:tc>
          <w:tcPr>
            <w:tcW w:w="1758" w:type="dxa"/>
            <w:vAlign w:val="center"/>
          </w:tcPr>
          <w:p w14:paraId="6F4C0826">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w:t>
            </w:r>
          </w:p>
        </w:tc>
      </w:tr>
      <w:tr w14:paraId="546C4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2" w:type="dxa"/>
            <w:vAlign w:val="center"/>
          </w:tcPr>
          <w:p w14:paraId="32227D5B">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20</w:t>
            </w:r>
          </w:p>
        </w:tc>
        <w:tc>
          <w:tcPr>
            <w:tcW w:w="1458" w:type="dxa"/>
            <w:vAlign w:val="center"/>
          </w:tcPr>
          <w:p w14:paraId="58B08F97">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臭气浓度</w:t>
            </w:r>
          </w:p>
        </w:tc>
        <w:tc>
          <w:tcPr>
            <w:tcW w:w="1590" w:type="dxa"/>
            <w:vAlign w:val="center"/>
          </w:tcPr>
          <w:p w14:paraId="7A358E9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臭气袋或真空瓶</w:t>
            </w:r>
          </w:p>
        </w:tc>
        <w:tc>
          <w:tcPr>
            <w:tcW w:w="2115" w:type="dxa"/>
            <w:vAlign w:val="center"/>
          </w:tcPr>
          <w:p w14:paraId="57E0DB8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常温，避光</w:t>
            </w:r>
          </w:p>
        </w:tc>
        <w:tc>
          <w:tcPr>
            <w:tcW w:w="1110" w:type="dxa"/>
            <w:vAlign w:val="center"/>
          </w:tcPr>
          <w:p w14:paraId="47F4200B">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24h</w:t>
            </w:r>
          </w:p>
        </w:tc>
        <w:tc>
          <w:tcPr>
            <w:tcW w:w="1758" w:type="dxa"/>
            <w:vAlign w:val="center"/>
          </w:tcPr>
          <w:p w14:paraId="3AC1F54E">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w:t>
            </w:r>
          </w:p>
        </w:tc>
      </w:tr>
    </w:tbl>
    <w:p w14:paraId="5C036491">
      <w:pPr>
        <w:pStyle w:val="7"/>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废气和环境空气样品采集按国家监测技术规范 GB/T16175-1996《固定污染源排气中颗粒物测定与气态污染物采样方法》、HJ/T373-2007《固定污染源监测质量保证与质量控制技术规范》、HJ/T397-2007《固定源废气监测技术规范》、HJ/T194-2005《环境空气质量手工监测技术规范》进行布点、采样，移动设备现场采样前后必须进行仪器校准，校准合格后方可使用。用气袋采样时必须事先检查气袋，不得漏气。在采样时，要用现场空气冲洗气袋3～4次，每次冲洗都应把气袋中的残留气体排尽。采样过程中采样人员不能离开现场，不能在采样装置附近吸烟或围观，应经常观察仪器的运转状况，随时注意周围环境和气象条件的变化，并认真做好采样记录。采好的 样品应按规定及时妥善处理保存，并存入专业样箱内，连同采样记录及时送实验室分析。</w:t>
      </w:r>
    </w:p>
    <w:p w14:paraId="367580F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0"/>
        <w:rPr>
          <w:rFonts w:hint="eastAsia" w:ascii="仿宋" w:hAnsi="仿宋" w:eastAsia="仿宋" w:cs="仿宋"/>
          <w:b w:val="0"/>
          <w:bCs w:val="0"/>
          <w:sz w:val="28"/>
          <w:szCs w:val="28"/>
          <w:u w:val="none"/>
        </w:rPr>
      </w:pPr>
      <w:r>
        <w:rPr>
          <w:rFonts w:hint="eastAsia" w:ascii="仿宋" w:hAnsi="仿宋" w:eastAsia="仿宋" w:cs="仿宋"/>
          <w:b w:val="0"/>
          <w:bCs w:val="0"/>
          <w:spacing w:val="-2"/>
          <w:sz w:val="28"/>
          <w:szCs w:val="28"/>
          <w:u w:val="none"/>
        </w:rPr>
        <w:t>五.质量保证与质量控制措施</w:t>
      </w:r>
    </w:p>
    <w:p w14:paraId="364924E3">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lang w:val="en-US" w:eastAsia="zh-CN"/>
        </w:rPr>
        <w:t>公</w:t>
      </w:r>
      <w:r>
        <w:rPr>
          <w:rFonts w:hint="eastAsia" w:ascii="仿宋" w:hAnsi="仿宋" w:eastAsia="仿宋" w:cs="仿宋"/>
          <w:b w:val="0"/>
          <w:bCs w:val="0"/>
          <w:spacing w:val="0"/>
          <w:sz w:val="24"/>
          <w:szCs w:val="24"/>
          <w:u w:val="none"/>
        </w:rPr>
        <w:t>司自行监测遵守国家环境监测技术规范和方法。国家环境检测技术规范和方法中未作规定的，采用国际标准和国外先进标准。</w:t>
      </w:r>
    </w:p>
    <w:p w14:paraId="4929AF8A">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0" w:firstLineChars="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1.人员持证上岗</w:t>
      </w:r>
    </w:p>
    <w:p w14:paraId="7296C759">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lang w:eastAsia="zh-CN"/>
        </w:rPr>
        <w:t>（</w:t>
      </w:r>
      <w:r>
        <w:rPr>
          <w:rFonts w:hint="eastAsia" w:ascii="仿宋" w:hAnsi="仿宋" w:eastAsia="仿宋" w:cs="仿宋"/>
          <w:b w:val="0"/>
          <w:bCs w:val="0"/>
          <w:spacing w:val="0"/>
          <w:sz w:val="24"/>
          <w:szCs w:val="24"/>
          <w:u w:val="none"/>
          <w:lang w:val="en-US" w:eastAsia="zh-CN"/>
        </w:rPr>
        <w:t>1</w:t>
      </w:r>
      <w:r>
        <w:rPr>
          <w:rFonts w:hint="eastAsia" w:ascii="仿宋" w:hAnsi="仿宋" w:eastAsia="仿宋" w:cs="仿宋"/>
          <w:b w:val="0"/>
          <w:bCs w:val="0"/>
          <w:spacing w:val="0"/>
          <w:sz w:val="24"/>
          <w:szCs w:val="24"/>
          <w:u w:val="none"/>
          <w:lang w:eastAsia="zh-CN"/>
        </w:rPr>
        <w:t>）</w:t>
      </w:r>
      <w:r>
        <w:rPr>
          <w:rFonts w:hint="eastAsia" w:ascii="仿宋" w:hAnsi="仿宋" w:eastAsia="仿宋" w:cs="仿宋"/>
          <w:b w:val="0"/>
          <w:bCs w:val="0"/>
          <w:spacing w:val="0"/>
          <w:sz w:val="24"/>
          <w:szCs w:val="24"/>
          <w:u w:val="none"/>
        </w:rPr>
        <w:t>参与本项目的采样人员均通过环境监测上岗证考试且在有效期内，负责对医院污水处理工作进行运行管理与维护，该运维的所有仪器均在检定有效期内。我院委托南京优格环保单位具有生活污水处理设施运行服务能力二级证书，运维人员参加污废水处理及工艺操作培训考试，并取得合格证书。</w:t>
      </w:r>
    </w:p>
    <w:p w14:paraId="2FE7CFD9">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lang w:eastAsia="zh-CN"/>
        </w:rPr>
        <w:t>（</w:t>
      </w:r>
      <w:r>
        <w:rPr>
          <w:rFonts w:hint="eastAsia" w:ascii="仿宋" w:hAnsi="仿宋" w:eastAsia="仿宋" w:cs="仿宋"/>
          <w:b w:val="0"/>
          <w:bCs w:val="0"/>
          <w:spacing w:val="0"/>
          <w:sz w:val="24"/>
          <w:szCs w:val="24"/>
          <w:u w:val="none"/>
          <w:lang w:val="en-US" w:eastAsia="zh-CN"/>
        </w:rPr>
        <w:t>2</w:t>
      </w:r>
      <w:r>
        <w:rPr>
          <w:rFonts w:hint="eastAsia" w:ascii="仿宋" w:hAnsi="仿宋" w:eastAsia="仿宋" w:cs="仿宋"/>
          <w:b w:val="0"/>
          <w:bCs w:val="0"/>
          <w:spacing w:val="0"/>
          <w:sz w:val="24"/>
          <w:szCs w:val="24"/>
          <w:u w:val="none"/>
          <w:lang w:eastAsia="zh-CN"/>
        </w:rPr>
        <w:t>）</w:t>
      </w:r>
      <w:r>
        <w:rPr>
          <w:rFonts w:hint="eastAsia" w:ascii="仿宋" w:hAnsi="仿宋" w:eastAsia="仿宋" w:cs="仿宋"/>
          <w:b w:val="0"/>
          <w:bCs w:val="0"/>
          <w:spacing w:val="0"/>
          <w:sz w:val="24"/>
          <w:szCs w:val="24"/>
          <w:u w:val="none"/>
        </w:rPr>
        <w:t>水质在线自动监控系统</w:t>
      </w:r>
      <w:r>
        <w:rPr>
          <w:rFonts w:hint="eastAsia" w:ascii="仿宋" w:hAnsi="仿宋" w:eastAsia="仿宋" w:cs="仿宋"/>
          <w:b w:val="0"/>
          <w:bCs w:val="0"/>
          <w:spacing w:val="0"/>
          <w:sz w:val="24"/>
          <w:szCs w:val="24"/>
          <w:u w:val="none"/>
          <w:lang w:eastAsia="zh-CN"/>
        </w:rPr>
        <w:t>，</w:t>
      </w:r>
      <w:r>
        <w:rPr>
          <w:rFonts w:hint="eastAsia" w:ascii="仿宋" w:hAnsi="仿宋" w:eastAsia="仿宋" w:cs="仿宋"/>
          <w:b w:val="0"/>
          <w:bCs w:val="0"/>
          <w:spacing w:val="0"/>
          <w:sz w:val="24"/>
          <w:szCs w:val="24"/>
          <w:u w:val="none"/>
        </w:rPr>
        <w:t>公司在线监测设备满足国家计量标准要求，公司污流量在线连续监控系统与南京市生态环境局网站连接并实时连续上传相关环保数据。</w:t>
      </w:r>
    </w:p>
    <w:p w14:paraId="1ACCCC0B">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0" w:firstLineChars="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2.废水自动监控系统</w:t>
      </w:r>
    </w:p>
    <w:p w14:paraId="5782E773">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lang w:val="en-US" w:eastAsia="zh-CN"/>
        </w:rPr>
      </w:pPr>
      <w:r>
        <w:rPr>
          <w:rFonts w:hint="eastAsia" w:ascii="仿宋" w:hAnsi="仿宋" w:eastAsia="仿宋" w:cs="仿宋"/>
          <w:b w:val="0"/>
          <w:bCs w:val="0"/>
          <w:spacing w:val="0"/>
          <w:sz w:val="24"/>
          <w:szCs w:val="24"/>
          <w:u w:val="none"/>
        </w:rPr>
        <w:t>我院委托</w:t>
      </w:r>
      <w:r>
        <w:rPr>
          <w:rFonts w:hint="eastAsia" w:ascii="仿宋" w:hAnsi="仿宋" w:eastAsia="仿宋" w:cs="仿宋"/>
          <w:b w:val="0"/>
          <w:bCs w:val="0"/>
          <w:spacing w:val="0"/>
          <w:sz w:val="24"/>
          <w:szCs w:val="24"/>
          <w:u w:val="none"/>
          <w:lang w:val="en-US" w:eastAsia="zh-CN"/>
        </w:rPr>
        <w:t>第三方运维</w:t>
      </w:r>
      <w:r>
        <w:rPr>
          <w:rFonts w:hint="eastAsia" w:ascii="仿宋" w:hAnsi="仿宋" w:eastAsia="仿宋" w:cs="仿宋"/>
          <w:b w:val="0"/>
          <w:bCs w:val="0"/>
          <w:spacing w:val="0"/>
          <w:sz w:val="24"/>
          <w:szCs w:val="24"/>
          <w:u w:val="none"/>
        </w:rPr>
        <w:t>公司实现24小时运维，污水在线监测设备均有MC 认证和标志，满足国家计量标准要求。我院废水中的流量、COD等进行实时监测，污水处理站排放安装实时的污水在线连续监控系统(即CEMS系统)</w:t>
      </w:r>
      <w:r>
        <w:rPr>
          <w:rFonts w:hint="eastAsia" w:ascii="仿宋" w:hAnsi="仿宋" w:eastAsia="仿宋" w:cs="仿宋"/>
          <w:b w:val="0"/>
          <w:bCs w:val="0"/>
          <w:spacing w:val="0"/>
          <w:sz w:val="24"/>
          <w:szCs w:val="24"/>
          <w:u w:val="none"/>
          <w:lang w:eastAsia="zh-CN"/>
        </w:rPr>
        <w:t>，</w:t>
      </w:r>
      <w:r>
        <w:rPr>
          <w:rFonts w:hint="eastAsia" w:ascii="仿宋" w:hAnsi="仿宋" w:eastAsia="仿宋" w:cs="仿宋"/>
          <w:b w:val="0"/>
          <w:bCs w:val="0"/>
          <w:spacing w:val="0"/>
          <w:sz w:val="24"/>
          <w:szCs w:val="24"/>
          <w:u w:val="none"/>
        </w:rPr>
        <w:t>与</w:t>
      </w:r>
      <w:r>
        <w:rPr>
          <w:rFonts w:hint="eastAsia" w:ascii="仿宋" w:hAnsi="仿宋" w:eastAsia="仿宋" w:cs="仿宋"/>
          <w:b w:val="0"/>
          <w:bCs w:val="0"/>
          <w:spacing w:val="0"/>
          <w:sz w:val="24"/>
          <w:szCs w:val="24"/>
          <w:u w:val="none"/>
          <w:lang w:val="en-US" w:eastAsia="zh-CN"/>
        </w:rPr>
        <w:t>南京市生态环境局</w:t>
      </w:r>
      <w:r>
        <w:rPr>
          <w:rFonts w:hint="eastAsia" w:ascii="仿宋" w:hAnsi="仿宋" w:eastAsia="仿宋" w:cs="仿宋"/>
          <w:b w:val="0"/>
          <w:bCs w:val="0"/>
          <w:spacing w:val="0"/>
          <w:sz w:val="24"/>
          <w:szCs w:val="24"/>
          <w:u w:val="none"/>
        </w:rPr>
        <w:t>网站连接并实时连续上传相关环保</w:t>
      </w:r>
      <w:r>
        <w:rPr>
          <w:rFonts w:hint="eastAsia" w:ascii="仿宋" w:hAnsi="仿宋" w:eastAsia="仿宋" w:cs="仿宋"/>
          <w:b w:val="0"/>
          <w:bCs w:val="0"/>
          <w:spacing w:val="0"/>
          <w:sz w:val="24"/>
          <w:szCs w:val="24"/>
          <w:u w:val="none"/>
          <w:lang w:val="en-US" w:eastAsia="zh-CN"/>
        </w:rPr>
        <w:t>数据。</w:t>
      </w:r>
    </w:p>
    <w:p w14:paraId="552AE9A8">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0" w:firstLineChars="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3.实验室能力认定</w:t>
      </w:r>
    </w:p>
    <w:p w14:paraId="66CE9A12">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委托有资质的环境监测机构开展手工监测项目。</w:t>
      </w:r>
    </w:p>
    <w:p w14:paraId="0EDF89F0">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0" w:firstLineChars="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4.仪器要求</w:t>
      </w:r>
    </w:p>
    <w:p w14:paraId="7661C1E8">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我院污水处理在线监控设备档案齐全，且所有监测仪器、量具均经过质检部门检定合格并在有效期内使用。</w:t>
      </w:r>
    </w:p>
    <w:p w14:paraId="74363B5B">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0" w:firstLineChars="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5.监测技术规范性</w:t>
      </w:r>
    </w:p>
    <w:p w14:paraId="39F2D1F9">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废气、废水监测平台、监测断面和监测孔的设置均符合《固定源 废气监测技术规范》(HJ/T397</w:t>
      </w:r>
      <w:r>
        <w:rPr>
          <w:rFonts w:hint="eastAsia" w:ascii="仿宋" w:hAnsi="仿宋" w:eastAsia="仿宋" w:cs="仿宋"/>
          <w:b w:val="0"/>
          <w:bCs w:val="0"/>
          <w:spacing w:val="0"/>
          <w:sz w:val="24"/>
          <w:szCs w:val="24"/>
          <w:u w:val="none"/>
          <w:lang w:val="en-US" w:eastAsia="zh-CN"/>
        </w:rPr>
        <w:t>-2007</w:t>
      </w:r>
      <w:r>
        <w:rPr>
          <w:rFonts w:hint="eastAsia" w:ascii="仿宋" w:hAnsi="仿宋" w:eastAsia="仿宋" w:cs="仿宋"/>
          <w:b w:val="0"/>
          <w:bCs w:val="0"/>
          <w:spacing w:val="0"/>
          <w:sz w:val="24"/>
          <w:szCs w:val="24"/>
          <w:u w:val="none"/>
        </w:rPr>
        <w:t>)  和《污水监测技术规范》(HJ91.1-2019) 等的要求。监测技术方法选择首先采用国家标准方法，在没有国标方法时，采用行业标准方法或国家环保部推荐方法。</w:t>
      </w:r>
    </w:p>
    <w:p w14:paraId="42AAE2B3">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0" w:firstLineChars="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6.记录要求</w:t>
      </w:r>
    </w:p>
    <w:p w14:paraId="65483ED1">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自动监测设备应保存仪器校验记录。校验记录必须根据</w:t>
      </w:r>
      <w:r>
        <w:rPr>
          <w:rFonts w:hint="eastAsia" w:ascii="仿宋" w:hAnsi="仿宋" w:eastAsia="仿宋" w:cs="仿宋"/>
          <w:b w:val="0"/>
          <w:bCs w:val="0"/>
          <w:spacing w:val="0"/>
          <w:sz w:val="24"/>
          <w:szCs w:val="24"/>
          <w:u w:val="none"/>
          <w:lang w:val="en-US" w:eastAsia="zh-CN"/>
        </w:rPr>
        <w:t>南京市生态环境局</w:t>
      </w:r>
      <w:r>
        <w:rPr>
          <w:rFonts w:hint="eastAsia" w:ascii="仿宋" w:hAnsi="仿宋" w:eastAsia="仿宋" w:cs="仿宋"/>
          <w:b w:val="0"/>
          <w:bCs w:val="0"/>
          <w:spacing w:val="0"/>
          <w:sz w:val="24"/>
          <w:szCs w:val="24"/>
          <w:u w:val="none"/>
        </w:rPr>
        <w:t>在线监测科要求，按照规范进行，记录内容需完整准确，各类原始记录内容应完整、不得随意涂改，并有相关人员签字。</w:t>
      </w:r>
    </w:p>
    <w:p w14:paraId="1B4599AF">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手工监测记录必须提供原始采样记录，采样记录的内容须准确完  整，至少2人共同采样和签字，不得随意涂改；采样必须按照《环境空气质量手</w:t>
      </w:r>
      <w:r>
        <w:rPr>
          <w:rFonts w:hint="eastAsia" w:ascii="仿宋" w:hAnsi="仿宋" w:eastAsia="仿宋" w:cs="仿宋"/>
          <w:b w:val="0"/>
          <w:bCs w:val="0"/>
          <w:spacing w:val="0"/>
          <w:sz w:val="24"/>
          <w:szCs w:val="24"/>
          <w:u w:val="none"/>
          <w:lang w:val="en-US" w:eastAsia="zh-CN"/>
        </w:rPr>
        <w:t>工</w:t>
      </w:r>
      <w:r>
        <w:rPr>
          <w:rFonts w:hint="eastAsia" w:ascii="仿宋" w:hAnsi="仿宋" w:eastAsia="仿宋" w:cs="仿宋"/>
          <w:b w:val="0"/>
          <w:bCs w:val="0"/>
          <w:spacing w:val="0"/>
          <w:sz w:val="24"/>
          <w:szCs w:val="24"/>
          <w:u w:val="none"/>
        </w:rPr>
        <w:t>监测技术规范》(HJ/T194-2005)、《污水监测技术规范》</w:t>
      </w:r>
      <w:r>
        <w:rPr>
          <w:rFonts w:hint="eastAsia" w:ascii="仿宋" w:hAnsi="仿宋" w:eastAsia="仿宋" w:cs="仿宋"/>
          <w:b w:val="0"/>
          <w:bCs w:val="0"/>
          <w:spacing w:val="0"/>
          <w:sz w:val="24"/>
          <w:szCs w:val="24"/>
          <w:u w:val="none"/>
          <w:lang w:eastAsia="zh-CN"/>
        </w:rPr>
        <w:t>（</w:t>
      </w:r>
      <w:r>
        <w:rPr>
          <w:rFonts w:hint="eastAsia" w:ascii="仿宋" w:hAnsi="仿宋" w:eastAsia="仿宋" w:cs="仿宋"/>
          <w:b w:val="0"/>
          <w:bCs w:val="0"/>
          <w:spacing w:val="0"/>
          <w:sz w:val="24"/>
          <w:szCs w:val="24"/>
          <w:u w:val="none"/>
        </w:rPr>
        <w:t>HJ91.1-2019</w:t>
      </w:r>
      <w:r>
        <w:rPr>
          <w:rFonts w:hint="eastAsia" w:ascii="仿宋" w:hAnsi="仿宋" w:eastAsia="仿宋" w:cs="仿宋"/>
          <w:b w:val="0"/>
          <w:bCs w:val="0"/>
          <w:spacing w:val="0"/>
          <w:sz w:val="24"/>
          <w:szCs w:val="24"/>
          <w:u w:val="none"/>
          <w:lang w:eastAsia="zh-CN"/>
        </w:rPr>
        <w:t>）</w:t>
      </w:r>
      <w:r>
        <w:rPr>
          <w:rFonts w:hint="eastAsia" w:ascii="仿宋" w:hAnsi="仿宋" w:eastAsia="仿宋" w:cs="仿宋"/>
          <w:b w:val="0"/>
          <w:bCs w:val="0"/>
          <w:spacing w:val="0"/>
          <w:sz w:val="24"/>
          <w:szCs w:val="24"/>
          <w:u w:val="none"/>
        </w:rPr>
        <w:t>、《水质采样技术指导》</w:t>
      </w:r>
      <w:r>
        <w:rPr>
          <w:rFonts w:hint="eastAsia" w:ascii="仿宋" w:hAnsi="仿宋" w:eastAsia="仿宋" w:cs="仿宋"/>
          <w:b w:val="0"/>
          <w:bCs w:val="0"/>
          <w:spacing w:val="0"/>
          <w:sz w:val="24"/>
          <w:szCs w:val="24"/>
          <w:u w:val="none"/>
          <w:lang w:eastAsia="zh-CN"/>
        </w:rPr>
        <w:t>（</w:t>
      </w:r>
      <w:r>
        <w:rPr>
          <w:rFonts w:hint="eastAsia" w:ascii="仿宋" w:hAnsi="仿宋" w:eastAsia="仿宋" w:cs="仿宋"/>
          <w:b w:val="0"/>
          <w:bCs w:val="0"/>
          <w:spacing w:val="0"/>
          <w:sz w:val="24"/>
          <w:szCs w:val="24"/>
          <w:u w:val="none"/>
        </w:rPr>
        <w:t xml:space="preserve">HJ494-2009 </w:t>
      </w:r>
      <w:r>
        <w:rPr>
          <w:rFonts w:hint="eastAsia" w:ascii="仿宋" w:hAnsi="仿宋" w:eastAsia="仿宋" w:cs="仿宋"/>
          <w:b w:val="0"/>
          <w:bCs w:val="0"/>
          <w:spacing w:val="0"/>
          <w:sz w:val="24"/>
          <w:szCs w:val="24"/>
          <w:u w:val="none"/>
          <w:lang w:eastAsia="zh-CN"/>
        </w:rPr>
        <w:t>）</w:t>
      </w:r>
      <w:r>
        <w:rPr>
          <w:rFonts w:hint="eastAsia" w:ascii="仿宋" w:hAnsi="仿宋" w:eastAsia="仿宋" w:cs="仿宋"/>
          <w:b w:val="0"/>
          <w:bCs w:val="0"/>
          <w:spacing w:val="0"/>
          <w:sz w:val="24"/>
          <w:szCs w:val="24"/>
          <w:u w:val="none"/>
        </w:rPr>
        <w:t>中的要求进行；样品交接记录内容需完整、规范。</w:t>
      </w:r>
    </w:p>
    <w:p w14:paraId="67CE875D">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0" w:firstLineChars="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7.质量控制措施</w:t>
      </w:r>
    </w:p>
    <w:p w14:paraId="1DFCA2A8">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监测过程增加全程序空白、平行样、加标样、有证标准样品等质 控措施，质控测定结果随样品结果同时报出。每批样品每项分析项目 均需采集分析1-2个全程序空白样，采集分析不少于10%的现场平行样测试，至少测定一个实验室空白值(含前处理)</w:t>
      </w:r>
      <w:r>
        <w:rPr>
          <w:rFonts w:hint="eastAsia" w:ascii="仿宋" w:hAnsi="仿宋" w:eastAsia="仿宋" w:cs="仿宋"/>
          <w:b w:val="0"/>
          <w:bCs w:val="0"/>
          <w:spacing w:val="0"/>
          <w:sz w:val="24"/>
          <w:szCs w:val="24"/>
          <w:u w:val="none"/>
          <w:lang w:eastAsia="zh-CN"/>
        </w:rPr>
        <w:t>，</w:t>
      </w:r>
      <w:r>
        <w:rPr>
          <w:rFonts w:hint="eastAsia" w:ascii="仿宋" w:hAnsi="仿宋" w:eastAsia="仿宋" w:cs="仿宋"/>
          <w:b w:val="0"/>
          <w:bCs w:val="0"/>
          <w:spacing w:val="0"/>
          <w:sz w:val="24"/>
          <w:szCs w:val="24"/>
          <w:u w:val="none"/>
        </w:rPr>
        <w:t>随机抽取10%实验室平行样测试，随机抽取10%样品进行实际样品加标测试。</w:t>
      </w:r>
    </w:p>
    <w:p w14:paraId="14440307">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0" w:firstLineChars="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lang w:eastAsia="zh-CN"/>
        </w:rPr>
        <w:t>（</w:t>
      </w:r>
      <w:r>
        <w:rPr>
          <w:rFonts w:hint="eastAsia" w:ascii="仿宋" w:hAnsi="仿宋" w:eastAsia="仿宋" w:cs="仿宋"/>
          <w:b w:val="0"/>
          <w:bCs w:val="0"/>
          <w:spacing w:val="0"/>
          <w:sz w:val="24"/>
          <w:szCs w:val="24"/>
          <w:u w:val="none"/>
          <w:lang w:val="en-US" w:eastAsia="zh-CN"/>
        </w:rPr>
        <w:t>1</w:t>
      </w:r>
      <w:r>
        <w:rPr>
          <w:rFonts w:hint="eastAsia" w:ascii="仿宋" w:hAnsi="仿宋" w:eastAsia="仿宋" w:cs="仿宋"/>
          <w:b w:val="0"/>
          <w:bCs w:val="0"/>
          <w:spacing w:val="0"/>
          <w:sz w:val="24"/>
          <w:szCs w:val="24"/>
          <w:u w:val="none"/>
          <w:lang w:eastAsia="zh-CN"/>
        </w:rPr>
        <w:t>）</w:t>
      </w:r>
      <w:r>
        <w:rPr>
          <w:rFonts w:hint="eastAsia" w:ascii="仿宋" w:hAnsi="仿宋" w:eastAsia="仿宋" w:cs="仿宋"/>
          <w:b w:val="0"/>
          <w:bCs w:val="0"/>
          <w:spacing w:val="0"/>
          <w:sz w:val="24"/>
          <w:szCs w:val="24"/>
          <w:u w:val="none"/>
        </w:rPr>
        <w:t>有组织废气质控措施</w:t>
      </w:r>
    </w:p>
    <w:p w14:paraId="27A30444">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A. 采样人员必须通过岗前培训，切实掌握采样技术。仪器的检定 和校准：属于国家强制检定目录内的工作计量器具，必须按期送计量部门检定，检定合格，取得检定证书后方可用于监测工作。</w:t>
      </w:r>
    </w:p>
    <w:p w14:paraId="6FF34EB0">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B. 排气温度测量仪表、斜管微压计、空盒大气压力计、真空压力 表(压力计)、转子流量计、干式累积流量计、采样管加热温度、分析天平、采样嘴、皮托管系数等至少半年自行校正一次。校正方法按GB/T16157-1996 中第12章执行。</w:t>
      </w:r>
    </w:p>
    <w:p w14:paraId="4AE39EE2">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C. 定电位电解法烟气 (SO2、NOX、CO) 测定仪，应根据仪器使用 频率，每3个月至半年校准一次。在使用频率较高的情况下，应增加校准次数。用仪器量程中点值附近浓度的标准气校准，若仪器示值偏差不高于5%</w:t>
      </w:r>
      <w:r>
        <w:rPr>
          <w:rFonts w:hint="eastAsia" w:ascii="仿宋" w:hAnsi="仿宋" w:eastAsia="仿宋" w:cs="仿宋"/>
          <w:b w:val="0"/>
          <w:bCs w:val="0"/>
          <w:spacing w:val="0"/>
          <w:sz w:val="24"/>
          <w:szCs w:val="24"/>
          <w:u w:val="none"/>
          <w:lang w:eastAsia="zh-CN"/>
        </w:rPr>
        <w:t>，</w:t>
      </w:r>
      <w:r>
        <w:rPr>
          <w:rFonts w:hint="eastAsia" w:ascii="仿宋" w:hAnsi="仿宋" w:eastAsia="仿宋" w:cs="仿宋"/>
          <w:b w:val="0"/>
          <w:bCs w:val="0"/>
          <w:spacing w:val="0"/>
          <w:sz w:val="24"/>
          <w:szCs w:val="24"/>
          <w:u w:val="none"/>
        </w:rPr>
        <w:t>则为合格。定电位电解法烟气测定仪和测氧仪的电化学传感器寿命一般为1到2年，若发现传感器性能明显下降或已失效，必须及时更换传感器，送计量部门重新检定后方可使用。</w:t>
      </w:r>
    </w:p>
    <w:p w14:paraId="42E7CDD7">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D.测氧仪至少每季度检查校验一次，使用高纯氮检查其零点，用 干净的环境空气应能调整其示值为20.9%(在高原地区应按照当地空含氧量标定)。</w:t>
      </w:r>
    </w:p>
    <w:p w14:paraId="1A1F2A0D">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E. 自动烟尘采样仪和含湿量测定装置的温度计、电子压差计、流 量计应定期进行校准。监测期间应有专人负责监督工况，污染源生产设备、治理设施应处于正常的运行工况。</w:t>
      </w:r>
    </w:p>
    <w:p w14:paraId="5C24E8A9">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F. 在进行排气参数测定和采样时，打开采样孔后应仔细清除采样 孔短接管内的积灰，再插入测量仪器或采样探头，并严密堵住采样孔 周围缝隙以防止漏气。排气温度测定时，应将温度计的测定端插入管 道中心位置，待温度指示值稳定后读数，不允许将温度计抽出管道外读数。</w:t>
      </w:r>
    </w:p>
    <w:p w14:paraId="10F297C3">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G.排气水分含量测定时，采样管前端应装有颗粒物过滤器，采样 管应有加热保温措施。应对系统的气密性进行检查。对于直径较大的烟道，应将采样管尽量深地插入烟道，减少采样管外露部分，以防水汽在采样管中冷凝，造成测定结果偏低。用奥氏气体分析仪测定烟气成分时，必须按 CO</w:t>
      </w:r>
      <w:r>
        <w:rPr>
          <w:rFonts w:hint="eastAsia" w:ascii="仿宋" w:hAnsi="仿宋" w:eastAsia="仿宋" w:cs="仿宋"/>
          <w:b w:val="0"/>
          <w:bCs w:val="0"/>
          <w:spacing w:val="0"/>
          <w:sz w:val="24"/>
          <w:szCs w:val="24"/>
          <w:u w:val="none"/>
          <w:vertAlign w:val="subscript"/>
        </w:rPr>
        <w:t>2</w:t>
      </w:r>
      <w:r>
        <w:rPr>
          <w:rFonts w:hint="eastAsia" w:ascii="仿宋" w:hAnsi="仿宋" w:eastAsia="仿宋" w:cs="仿宋"/>
          <w:b w:val="0"/>
          <w:bCs w:val="0"/>
          <w:spacing w:val="0"/>
          <w:sz w:val="24"/>
          <w:szCs w:val="24"/>
          <w:u w:val="none"/>
        </w:rPr>
        <w:t>、0</w:t>
      </w:r>
      <w:r>
        <w:rPr>
          <w:rFonts w:hint="eastAsia" w:ascii="仿宋" w:hAnsi="仿宋" w:eastAsia="仿宋" w:cs="仿宋"/>
          <w:b w:val="0"/>
          <w:bCs w:val="0"/>
          <w:spacing w:val="0"/>
          <w:sz w:val="24"/>
          <w:szCs w:val="24"/>
          <w:u w:val="none"/>
          <w:vertAlign w:val="subscript"/>
        </w:rPr>
        <w:t>2</w:t>
      </w:r>
      <w:r>
        <w:rPr>
          <w:rFonts w:hint="eastAsia" w:ascii="仿宋" w:hAnsi="仿宋" w:eastAsia="仿宋" w:cs="仿宋"/>
          <w:b w:val="0"/>
          <w:bCs w:val="0"/>
          <w:spacing w:val="0"/>
          <w:sz w:val="24"/>
          <w:szCs w:val="24"/>
          <w:u w:val="none"/>
        </w:rPr>
        <w:t>、CO的顺序进行测定，操作过程应防止吸收液和封闭液窜入梳形管中。</w:t>
      </w:r>
    </w:p>
    <w:p w14:paraId="70920D54">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H.排气压力测定时，事先须将仪器调整水平，检查微压计液柱内 有无气泡，液面调至零点；对皮托管、微压计和系统进行气密性检查。 使用微压计或电子压差计测定排气压力时，应首先进行零点校准。测定排气压力时皮托管的全压孔要正对气流方向，偏差不得超过10度。</w:t>
      </w:r>
    </w:p>
    <w:p w14:paraId="17B07C0C">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I.全程序空白：每次采样至少需要带一个全程序空白到采样现场 不进行采样。每一批采样管至少抽取5%进行空白值检验。实验室质 控：每批样品均进行空白样品、室内平行样(10%)、有证标准样等质控样品，确保分析质量，平行样品中目标物的相对偏差小于等于30%。</w:t>
      </w:r>
    </w:p>
    <w:p w14:paraId="6F8B8705">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J. 平行样：每批样品至少测定10%的平行双样，样品数量少于10 时，应至少测定一个平行双样，两次平行测定结果的相对偏差应小于25.0%。分析过程应有完整、清晰可追溯的纸版和电子版记录。记录中 应包括项目名称、分析日期、样品名称类型、样品号、样品进样量、内标进样量、分析方法名称、分析人、仪器状况等信息。</w:t>
      </w:r>
    </w:p>
    <w:p w14:paraId="4BFE49FF">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lang w:val="en-US" w:eastAsia="zh-CN"/>
        </w:rPr>
        <w:t>L.</w:t>
      </w:r>
      <w:r>
        <w:rPr>
          <w:rFonts w:hint="eastAsia" w:ascii="仿宋" w:hAnsi="仿宋" w:eastAsia="仿宋" w:cs="仿宋"/>
          <w:b w:val="0"/>
          <w:bCs w:val="0"/>
          <w:spacing w:val="0"/>
          <w:sz w:val="24"/>
          <w:szCs w:val="24"/>
          <w:u w:val="none"/>
        </w:rPr>
        <w:t>样品的保存和运输：采集的样品采取有效措施的安全运输，防止出现漏气和样品损坏。采集后的样品优先安排分析。</w:t>
      </w:r>
    </w:p>
    <w:p w14:paraId="3F8DC9B0">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0" w:firstLineChars="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(2)无组织废气质控措施</w:t>
      </w:r>
    </w:p>
    <w:p w14:paraId="2A69B0EB">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A. 仪器的检定和校准：属于国家强制检定目录内的工作计量器具，必须按期送计量部门检定，检定合格，取得检定证书后方可用于监测工作。</w:t>
      </w:r>
    </w:p>
    <w:p w14:paraId="5C0CF2ED">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lang w:eastAsia="zh-CN"/>
        </w:rPr>
      </w:pPr>
      <w:r>
        <w:rPr>
          <w:rFonts w:hint="eastAsia" w:ascii="仿宋" w:hAnsi="仿宋" w:eastAsia="仿宋" w:cs="仿宋"/>
          <w:b w:val="0"/>
          <w:bCs w:val="0"/>
          <w:spacing w:val="0"/>
          <w:sz w:val="24"/>
          <w:szCs w:val="24"/>
          <w:u w:val="none"/>
        </w:rPr>
        <w:t>B.排气温度测量仪表、斜管微压计、空盒大气压力计、真空压力表(压力计)、转子流量计都必须进行校准</w:t>
      </w:r>
      <w:r>
        <w:rPr>
          <w:rFonts w:hint="eastAsia" w:ascii="仿宋" w:hAnsi="仿宋" w:eastAsia="仿宋" w:cs="仿宋"/>
          <w:b w:val="0"/>
          <w:bCs w:val="0"/>
          <w:spacing w:val="0"/>
          <w:sz w:val="24"/>
          <w:szCs w:val="24"/>
          <w:u w:val="none"/>
          <w:lang w:eastAsia="zh-CN"/>
        </w:rPr>
        <w:t>。</w:t>
      </w:r>
    </w:p>
    <w:p w14:paraId="1DAF4953">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C.无组织废气监测期间的主导风向(平均风向)便利于监控点的设置，并可使监控点和被测无组织排放源之间的距离尽可能缩小。监测期间的风向变化、平均风速和大气稳定度三项指标对污染物的稀释和扩散影响很大。</w:t>
      </w:r>
    </w:p>
    <w:p w14:paraId="25F939D6">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0" w:firstLineChars="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(3)废水质控措施</w:t>
      </w:r>
    </w:p>
    <w:p w14:paraId="5C792FFE">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A.采样人员必须通过岗前培训，切实掌握采样技术，熟知水样固定、保存、运输条件。</w:t>
      </w:r>
    </w:p>
    <w:p w14:paraId="387A09E7">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B. 采样时，除细菌总数、大肠菌群、油类、DO、</w:t>
      </w:r>
      <w:r>
        <w:rPr>
          <w:rFonts w:hint="eastAsia" w:ascii="仿宋" w:hAnsi="仿宋" w:eastAsia="仿宋" w:cs="仿宋"/>
          <w:b w:val="0"/>
          <w:bCs w:val="0"/>
          <w:spacing w:val="0"/>
          <w:sz w:val="24"/>
          <w:szCs w:val="24"/>
          <w:u w:val="none"/>
          <w:lang w:val="en-US" w:eastAsia="zh-CN"/>
        </w:rPr>
        <w:t>B</w:t>
      </w:r>
      <w:r>
        <w:rPr>
          <w:rFonts w:hint="eastAsia" w:ascii="仿宋" w:hAnsi="仿宋" w:eastAsia="仿宋" w:cs="仿宋"/>
          <w:b w:val="0"/>
          <w:bCs w:val="0"/>
          <w:spacing w:val="0"/>
          <w:sz w:val="24"/>
          <w:szCs w:val="24"/>
          <w:u w:val="none"/>
        </w:rPr>
        <w:t>OD</w:t>
      </w:r>
      <w:r>
        <w:rPr>
          <w:rFonts w:hint="eastAsia" w:ascii="仿宋" w:hAnsi="仿宋" w:eastAsia="仿宋" w:cs="仿宋"/>
          <w:b w:val="0"/>
          <w:bCs w:val="0"/>
          <w:spacing w:val="0"/>
          <w:sz w:val="24"/>
          <w:szCs w:val="24"/>
          <w:u w:val="none"/>
          <w:vertAlign w:val="subscript"/>
        </w:rPr>
        <w:t>5</w:t>
      </w:r>
      <w:r>
        <w:rPr>
          <w:rFonts w:hint="eastAsia" w:ascii="仿宋" w:hAnsi="仿宋" w:eastAsia="仿宋" w:cs="仿宋"/>
          <w:b w:val="0"/>
          <w:bCs w:val="0"/>
          <w:spacing w:val="0"/>
          <w:sz w:val="24"/>
          <w:szCs w:val="24"/>
          <w:u w:val="none"/>
        </w:rPr>
        <w:t>、有机物、余氯等有特殊要求的项目外，要先用采样水荡洗采样器与水样容器 2～3 次，然后再将水样采入容器中，并按要求立即加入相应的固定剂</w:t>
      </w:r>
      <w:r>
        <w:rPr>
          <w:rFonts w:hint="eastAsia" w:ascii="仿宋" w:hAnsi="仿宋" w:eastAsia="仿宋" w:cs="仿宋"/>
          <w:b w:val="0"/>
          <w:bCs w:val="0"/>
          <w:spacing w:val="0"/>
          <w:sz w:val="24"/>
          <w:szCs w:val="24"/>
          <w:u w:val="none"/>
          <w:lang w:eastAsia="zh-CN"/>
        </w:rPr>
        <w:t>，</w:t>
      </w:r>
      <w:r>
        <w:rPr>
          <w:rFonts w:hint="eastAsia" w:ascii="仿宋" w:hAnsi="仿宋" w:eastAsia="仿宋" w:cs="仿宋"/>
          <w:b w:val="0"/>
          <w:bCs w:val="0"/>
          <w:spacing w:val="0"/>
          <w:sz w:val="24"/>
          <w:szCs w:val="24"/>
          <w:u w:val="none"/>
        </w:rPr>
        <w:t>贴好标签。应使用正规的不干胶标签。每批水样，应选择部分项目加采现场空白样，与样品一起送实验室分析。</w:t>
      </w:r>
    </w:p>
    <w:p w14:paraId="53A64B36">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C.每次分析结束后，除必要的留存样品外，样品瓶应及时清洗。水环境例行监测水样容器和污染源监测水样容器应分架存放，不得混用。各类采样容器应按测定项目与采样点位，分类编号，固定专用。</w:t>
      </w:r>
    </w:p>
    <w:p w14:paraId="09BD82E4">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D.认真填写“水质采样记录表”,用签字笔或硬质铅笔在现场记录，字迹应端正、清晰，项目完整。保证采样按时、准确、安全。</w:t>
      </w:r>
    </w:p>
    <w:p w14:paraId="1F2AC127">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E. 采样结束前，应核对采样计划、记录与水样，如有错误或遗漏，应立即补采或重采。如采样现场水体很不均匀，无法采到有代表性的</w:t>
      </w:r>
    </w:p>
    <w:p w14:paraId="781E62AE">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样品，则应详细记录不均匀的情况和实际采样情况，供使用该数据者参考。并将此现场情况向环境保护行政主管部门反映。</w:t>
      </w:r>
    </w:p>
    <w:p w14:paraId="0F5F2844">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F. 测定油类的水样，应在水面至300mm 采集柱状水样，并单独采</w:t>
      </w:r>
    </w:p>
    <w:p w14:paraId="51BAF861">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样，全部用于测定。并且采样瓶(容器)不能用采集的水样冲洗。</w:t>
      </w:r>
    </w:p>
    <w:p w14:paraId="2CB0A61D">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G. 测溶解氧、生化需氧量和有机污染物等项目时，水样必须注满容器，上部不留空间，并有水封口。</w:t>
      </w:r>
    </w:p>
    <w:p w14:paraId="20A6A147">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H. 如果水样中含沉降性固体(如泥沙等),则应分离除去。分离方 法为：将所采水样摇匀后倒入筒形玻璃容器(如1～2L 量筒)</w:t>
      </w:r>
      <w:r>
        <w:rPr>
          <w:rFonts w:hint="eastAsia" w:ascii="仿宋" w:hAnsi="仿宋" w:eastAsia="仿宋" w:cs="仿宋"/>
          <w:b w:val="0"/>
          <w:bCs w:val="0"/>
          <w:spacing w:val="0"/>
          <w:sz w:val="24"/>
          <w:szCs w:val="24"/>
          <w:u w:val="none"/>
          <w:lang w:eastAsia="zh-CN"/>
        </w:rPr>
        <w:t>，</w:t>
      </w:r>
      <w:r>
        <w:rPr>
          <w:rFonts w:hint="eastAsia" w:ascii="仿宋" w:hAnsi="仿宋" w:eastAsia="仿宋" w:cs="仿宋"/>
          <w:b w:val="0"/>
          <w:bCs w:val="0"/>
          <w:spacing w:val="0"/>
          <w:sz w:val="24"/>
          <w:szCs w:val="24"/>
          <w:u w:val="none"/>
        </w:rPr>
        <w:t>静置30min</w:t>
      </w:r>
      <w:r>
        <w:rPr>
          <w:rFonts w:hint="eastAsia" w:ascii="仿宋" w:hAnsi="仿宋" w:eastAsia="仿宋" w:cs="仿宋"/>
          <w:b w:val="0"/>
          <w:bCs w:val="0"/>
          <w:spacing w:val="0"/>
          <w:sz w:val="24"/>
          <w:szCs w:val="24"/>
          <w:u w:val="none"/>
          <w:lang w:val="en-US" w:eastAsia="zh-CN"/>
        </w:rPr>
        <w:t>,</w:t>
      </w:r>
      <w:r>
        <w:rPr>
          <w:rFonts w:hint="eastAsia" w:ascii="仿宋" w:hAnsi="仿宋" w:eastAsia="仿宋" w:cs="仿宋"/>
          <w:b w:val="0"/>
          <w:bCs w:val="0"/>
          <w:spacing w:val="0"/>
          <w:sz w:val="24"/>
          <w:szCs w:val="24"/>
          <w:u w:val="none"/>
        </w:rPr>
        <w:t>将不含沉降性固体但含有悬浮性固体的水样移入盛样容器并加入保存剂。测定水温、pH 、DO、电导率、总悬浮物和油类的水样除外。</w:t>
      </w:r>
    </w:p>
    <w:p w14:paraId="6E526B7C">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I. 测定油类、BOD5、DO、硫化物、余氯、粪大肠菌群、悬浮物</w:t>
      </w:r>
      <w:r>
        <w:rPr>
          <w:rFonts w:hint="eastAsia" w:ascii="仿宋" w:hAnsi="仿宋" w:eastAsia="仿宋" w:cs="仿宋"/>
          <w:b w:val="0"/>
          <w:bCs w:val="0"/>
          <w:spacing w:val="0"/>
          <w:sz w:val="24"/>
          <w:szCs w:val="24"/>
          <w:u w:val="none"/>
          <w:lang w:eastAsia="zh-CN"/>
        </w:rPr>
        <w:t>、</w:t>
      </w:r>
      <w:r>
        <w:rPr>
          <w:rFonts w:hint="eastAsia" w:ascii="仿宋" w:hAnsi="仿宋" w:eastAsia="仿宋" w:cs="仿宋"/>
          <w:b w:val="0"/>
          <w:bCs w:val="0"/>
          <w:spacing w:val="0"/>
          <w:sz w:val="24"/>
          <w:szCs w:val="24"/>
          <w:u w:val="none"/>
        </w:rPr>
        <w:t>放射性等项目要单独采样。</w:t>
      </w:r>
    </w:p>
    <w:p w14:paraId="34C5E64A">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J. 全程序空白：除悬浮物等样品外，均采集全程序空白样品，将 经过检验的纯水带至现场，代替样品采入样品瓶中，按规定加入固定剂，作为全程序空白样品。</w:t>
      </w:r>
    </w:p>
    <w:p w14:paraId="69ED3590">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K.现场检测： pH、DO 等仪器设备经过检定。按规范要求进行现 场标定和测定。样品容器清洗规范。悬浮物等样品单独采样。现场采集不少于10%的现场平行样。</w:t>
      </w:r>
    </w:p>
    <w:p w14:paraId="0AB23903">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L. 实验室质控：使用的纯水均经过检验。对每批样品均测试盲样、 进行空白样品、室内平行样(10%)、加标回收(10%)等质控样品，确保分析质量。</w:t>
      </w:r>
    </w:p>
    <w:p w14:paraId="072E0A91">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M.样品的保存和运输：采集的水质样品根据规范添加固定剂、冷藏保存后及时送检、及时分析。</w:t>
      </w:r>
    </w:p>
    <w:p w14:paraId="3E8EAFF0">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N.其他必要的质控措施。</w:t>
      </w:r>
    </w:p>
    <w:p w14:paraId="4C33DFFB">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0" w:firstLineChars="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(4)厂界噪声质控措施</w:t>
      </w:r>
    </w:p>
    <w:p w14:paraId="1E9A6C0D">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A.测量仪器和校准仪器应定期检定合格，并在有效使用期限内使 用；每次测量前、后必须在测量现场进行声学校准，其前、后校准的 测量仪器示值偏差不得大于0.5 dB(A),否则测量结果无效。测量时传声器加防风罩。</w:t>
      </w:r>
    </w:p>
    <w:p w14:paraId="3766EAF0">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B.测量仪器时间计权特性设为快“F”档，采样时间间隔不大于1s。</w:t>
      </w:r>
    </w:p>
    <w:p w14:paraId="0CFC4D6E">
      <w:pPr>
        <w:pStyle w:val="7"/>
        <w:spacing w:before="314" w:line="360" w:lineRule="auto"/>
        <w:ind w:left="4"/>
        <w:outlineLvl w:val="0"/>
        <w:rPr>
          <w:rFonts w:hint="eastAsia" w:ascii="仿宋" w:hAnsi="仿宋" w:eastAsia="仿宋" w:cs="仿宋"/>
          <w:b w:val="0"/>
          <w:bCs w:val="0"/>
          <w:sz w:val="28"/>
          <w:szCs w:val="28"/>
          <w:u w:val="none"/>
        </w:rPr>
      </w:pPr>
      <w:r>
        <w:rPr>
          <w:rFonts w:hint="eastAsia" w:ascii="仿宋" w:hAnsi="仿宋" w:eastAsia="仿宋" w:cs="仿宋"/>
          <w:b w:val="0"/>
          <w:bCs w:val="0"/>
          <w:spacing w:val="-1"/>
          <w:sz w:val="28"/>
          <w:szCs w:val="28"/>
          <w:u w:val="none"/>
        </w:rPr>
        <w:t>六</w:t>
      </w:r>
      <w:r>
        <w:rPr>
          <w:rFonts w:hint="eastAsia" w:ascii="仿宋" w:hAnsi="仿宋" w:eastAsia="仿宋" w:cs="仿宋"/>
          <w:b w:val="0"/>
          <w:bCs w:val="0"/>
          <w:spacing w:val="-1"/>
          <w:sz w:val="28"/>
          <w:szCs w:val="28"/>
          <w:u w:val="none"/>
          <w:lang w:eastAsia="zh-CN"/>
        </w:rPr>
        <w:t>、</w:t>
      </w:r>
      <w:r>
        <w:rPr>
          <w:rFonts w:hint="eastAsia" w:ascii="仿宋" w:hAnsi="仿宋" w:eastAsia="仿宋" w:cs="仿宋"/>
          <w:b w:val="0"/>
          <w:bCs w:val="0"/>
          <w:spacing w:val="-1"/>
          <w:sz w:val="28"/>
          <w:szCs w:val="28"/>
          <w:u w:val="none"/>
        </w:rPr>
        <w:t>信息记录和报告</w:t>
      </w:r>
    </w:p>
    <w:p w14:paraId="55A65B1D">
      <w:pPr>
        <w:pStyle w:val="7"/>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(一)信息记录</w:t>
      </w:r>
    </w:p>
    <w:p w14:paraId="52DFA6A4">
      <w:pPr>
        <w:pStyle w:val="7"/>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1.监测和运维记录</w:t>
      </w:r>
    </w:p>
    <w:p w14:paraId="2507EB7E">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z w:val="24"/>
          <w:szCs w:val="24"/>
          <w:u w:val="none"/>
        </w:rPr>
      </w:pPr>
      <w:r>
        <w:rPr>
          <w:rFonts w:hint="eastAsia" w:ascii="仿宋" w:hAnsi="仿宋" w:eastAsia="仿宋" w:cs="仿宋"/>
          <w:b w:val="0"/>
          <w:bCs w:val="0"/>
          <w:spacing w:val="0"/>
          <w:sz w:val="24"/>
          <w:szCs w:val="24"/>
          <w:u w:val="none"/>
        </w:rPr>
        <w:t>手工监测和自动监测的记录均按照《排污单位自行监测技术指南 总则》执行。自动监测记录流量、化学需氧量等；手工监测记录包括 采样时间、样品量、样品状态描述、采样人等采样信息，原始记录封 面标识使用监测方法及标准号，记录注明使用仪器名称、型号及编号 等信息，记录要求及时、真实、准确、清晰、完整。自动监测结果的电子版和手工监测结果纸质版及环境监测管理台账均保存五年。</w:t>
      </w:r>
    </w:p>
    <w:p w14:paraId="08EE4285">
      <w:pPr>
        <w:pStyle w:val="7"/>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position w:val="0"/>
          <w:sz w:val="24"/>
          <w:szCs w:val="24"/>
          <w:u w:val="none"/>
        </w:rPr>
      </w:pPr>
      <w:r>
        <w:rPr>
          <w:rFonts w:hint="eastAsia" w:ascii="仿宋" w:hAnsi="仿宋" w:eastAsia="仿宋" w:cs="仿宋"/>
          <w:b w:val="0"/>
          <w:bCs w:val="0"/>
          <w:position w:val="0"/>
          <w:sz w:val="24"/>
          <w:szCs w:val="24"/>
          <w:u w:val="none"/>
        </w:rPr>
        <w:t>2.生产和污染治理设施运行状况记录要求</w:t>
      </w:r>
    </w:p>
    <w:p w14:paraId="6D064A28">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(1)生产运行状况记录</w:t>
      </w:r>
    </w:p>
    <w:p w14:paraId="4B56E6EA">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记录监测期间企业及各主要生产设施运行状况(包括停机、启动情况)、产品产量、主要原辅料使用量、取水量、主要燃料消耗量、燃料主要成分等。</w:t>
      </w:r>
    </w:p>
    <w:p w14:paraId="23BF99A5">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(2)污染治理设施运行状况记录</w:t>
      </w:r>
    </w:p>
    <w:p w14:paraId="14171032">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污染治理设施主要运行状态参数、污染治理主要药剂消耗情况等。</w:t>
      </w:r>
    </w:p>
    <w:p w14:paraId="3BC2BDD8">
      <w:pPr>
        <w:pStyle w:val="7"/>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position w:val="0"/>
          <w:sz w:val="24"/>
          <w:szCs w:val="24"/>
          <w:u w:val="none"/>
        </w:rPr>
      </w:pPr>
      <w:r>
        <w:rPr>
          <w:rFonts w:hint="eastAsia" w:ascii="仿宋" w:hAnsi="仿宋" w:eastAsia="仿宋" w:cs="仿宋"/>
          <w:b w:val="0"/>
          <w:bCs w:val="0"/>
          <w:position w:val="0"/>
          <w:sz w:val="24"/>
          <w:szCs w:val="24"/>
          <w:u w:val="none"/>
        </w:rPr>
        <w:t>3.医疗废弃物记录</w:t>
      </w:r>
    </w:p>
    <w:p w14:paraId="20C301B4">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医疗废弃物 (HW</w:t>
      </w:r>
      <w:r>
        <w:rPr>
          <w:rFonts w:hint="eastAsia" w:ascii="仿宋" w:hAnsi="仿宋" w:eastAsia="仿宋" w:cs="仿宋"/>
          <w:b w:val="0"/>
          <w:bCs w:val="0"/>
          <w:spacing w:val="0"/>
          <w:sz w:val="24"/>
          <w:szCs w:val="24"/>
          <w:u w:val="none"/>
          <w:lang w:val="en-US" w:eastAsia="zh-CN"/>
        </w:rPr>
        <w:t>0</w:t>
      </w:r>
      <w:r>
        <w:rPr>
          <w:rFonts w:hint="eastAsia" w:ascii="仿宋" w:hAnsi="仿宋" w:eastAsia="仿宋" w:cs="仿宋"/>
          <w:b w:val="0"/>
          <w:bCs w:val="0"/>
          <w:spacing w:val="0"/>
          <w:sz w:val="24"/>
          <w:szCs w:val="24"/>
          <w:u w:val="none"/>
        </w:rPr>
        <w:t>1) 主要来源于在医疗过程中产生的手术、包扎 残余物、生物培养残余物、化验检查残余物、废医疗材料等，医院产 生的医疗废弃物按照类别分置于防渗漏、防锐器穿透的专用包装物或 者密闭的容器内，使用防渗漏、防遗撒的专用运送工具，按照本单位 确定的内部医疗废物运送时间、路线，将医疗废物收集并做相应产量 登记，运送至暂存地点。医疗废物暂时贮存的时间不得超过2天， 医疗废弃物全部委托南京汇和环境工程技术有限公司转运集中处置， 按照规范进行记录，记录内容需完整准确，各类原始记录内容应完整，不得随意涂改，并有相关人员签字，台账保存五年。</w:t>
      </w:r>
    </w:p>
    <w:p w14:paraId="5E6CB2AF">
      <w:pPr>
        <w:ind w:left="0" w:leftChars="0" w:firstLine="240" w:firstLineChars="100"/>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(二)信息报告</w:t>
      </w:r>
    </w:p>
    <w:p w14:paraId="24ED1943">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每年年底编写第二年的自行监测方案。自行监测方案包含以下内容：</w:t>
      </w:r>
    </w:p>
    <w:p w14:paraId="1D0C1F22">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1.监测方案的调整变化情况及变更原因；</w:t>
      </w:r>
    </w:p>
    <w:p w14:paraId="34CAC55D">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lang w:eastAsia="zh-CN"/>
        </w:rPr>
      </w:pPr>
      <w:r>
        <w:rPr>
          <w:rFonts w:hint="eastAsia" w:ascii="仿宋" w:hAnsi="仿宋" w:eastAsia="仿宋" w:cs="仿宋"/>
          <w:b w:val="0"/>
          <w:bCs w:val="0"/>
          <w:spacing w:val="0"/>
          <w:sz w:val="24"/>
          <w:szCs w:val="24"/>
          <w:u w:val="none"/>
        </w:rPr>
        <w:t>2.企业及各主要生产设施全年运行天数，各监测点、各监测指标全年监测次数、超标情况、浓度分布情况</w:t>
      </w:r>
      <w:r>
        <w:rPr>
          <w:rFonts w:hint="eastAsia" w:ascii="仿宋" w:hAnsi="仿宋" w:eastAsia="仿宋" w:cs="仿宋"/>
          <w:b w:val="0"/>
          <w:bCs w:val="0"/>
          <w:spacing w:val="0"/>
          <w:sz w:val="24"/>
          <w:szCs w:val="24"/>
          <w:u w:val="none"/>
          <w:lang w:eastAsia="zh-CN"/>
        </w:rPr>
        <w:t>；</w:t>
      </w:r>
    </w:p>
    <w:p w14:paraId="6B0487E6">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3.自行监测开展的其他情况说明；</w:t>
      </w:r>
    </w:p>
    <w:p w14:paraId="4E684E93">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4.实现达标排放所采取的主要措施。</w:t>
      </w:r>
    </w:p>
    <w:p w14:paraId="58B8724B">
      <w:pPr>
        <w:pStyle w:val="7"/>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(三)应急报告</w:t>
      </w:r>
    </w:p>
    <w:p w14:paraId="288DE7FD">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1.当监测结果出现超标，我公司对超标的项目增加监测频次，并检查超标原因。</w:t>
      </w:r>
    </w:p>
    <w:p w14:paraId="5E28CBFE">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8"/>
          <w:szCs w:val="28"/>
          <w:u w:val="none"/>
          <w:lang w:val="en-US" w:eastAsia="zh-CN"/>
        </w:rPr>
      </w:pPr>
      <w:r>
        <w:rPr>
          <w:rFonts w:hint="eastAsia" w:ascii="仿宋" w:hAnsi="仿宋" w:eastAsia="仿宋" w:cs="仿宋"/>
          <w:b w:val="0"/>
          <w:bCs w:val="0"/>
          <w:spacing w:val="0"/>
          <w:sz w:val="24"/>
          <w:szCs w:val="24"/>
          <w:u w:val="none"/>
        </w:rPr>
        <w:t>2.若短期内无法实现稳定达标排放的，公司应向南京市溧水生态环境 保护局提交事故分析报告，说明事故发生的原因，采取减轻或防止污 染的措施，以及今后的预防及改进措施。若因发生事故或者其他突发 事件，排放的污水可能危及城镇排水与污水处理设施安全运行</w:t>
      </w:r>
      <w:r>
        <w:rPr>
          <w:rFonts w:hint="eastAsia" w:ascii="仿宋" w:hAnsi="仿宋" w:eastAsia="仿宋" w:cs="仿宋"/>
          <w:b w:val="0"/>
          <w:bCs w:val="0"/>
          <w:spacing w:val="0"/>
          <w:sz w:val="24"/>
          <w:szCs w:val="24"/>
          <w:u w:val="none"/>
          <w:lang w:val="en-US" w:eastAsia="zh-CN"/>
        </w:rPr>
        <w:t>的，应 当立即采取措施消除危害，并及时向城镇排水主管部门和南京市溧水生态环境保护局等有关部门报告。</w:t>
      </w:r>
    </w:p>
    <w:p w14:paraId="766C12F9">
      <w:pPr>
        <w:pStyle w:val="7"/>
        <w:spacing w:before="306" w:line="360" w:lineRule="auto"/>
        <w:ind w:left="4"/>
        <w:outlineLvl w:val="0"/>
        <w:rPr>
          <w:rFonts w:hint="eastAsia" w:ascii="仿宋" w:hAnsi="仿宋" w:eastAsia="仿宋" w:cs="仿宋"/>
          <w:b w:val="0"/>
          <w:bCs w:val="0"/>
          <w:sz w:val="28"/>
          <w:szCs w:val="28"/>
          <w:u w:val="none"/>
        </w:rPr>
      </w:pPr>
      <w:r>
        <w:rPr>
          <w:rFonts w:hint="eastAsia" w:ascii="仿宋" w:hAnsi="仿宋" w:eastAsia="仿宋" w:cs="仿宋"/>
          <w:b w:val="0"/>
          <w:bCs w:val="0"/>
          <w:spacing w:val="9"/>
          <w:sz w:val="28"/>
          <w:szCs w:val="28"/>
          <w:u w:val="none"/>
        </w:rPr>
        <w:t>七.自行监测信息公布</w:t>
      </w:r>
    </w:p>
    <w:p w14:paraId="5E7C2D4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仿宋" w:hAnsi="仿宋" w:eastAsia="仿宋" w:cs="仿宋"/>
          <w:b w:val="0"/>
          <w:bCs w:val="0"/>
          <w:spacing w:val="16"/>
          <w:position w:val="26"/>
          <w:sz w:val="24"/>
          <w:szCs w:val="24"/>
          <w:u w:val="none"/>
          <w:lang w:eastAsia="zh-CN"/>
        </w:rPr>
      </w:pPr>
      <w:r>
        <w:rPr>
          <w:rFonts w:hint="eastAsia" w:ascii="仿宋" w:hAnsi="仿宋" w:eastAsia="仿宋" w:cs="仿宋"/>
          <w:b w:val="0"/>
          <w:bCs w:val="0"/>
          <w:spacing w:val="16"/>
          <w:position w:val="26"/>
          <w:sz w:val="24"/>
          <w:szCs w:val="24"/>
          <w:u w:val="none"/>
        </w:rPr>
        <w:t>(一)公布方式</w:t>
      </w:r>
    </w:p>
    <w:p w14:paraId="212C5678">
      <w:pPr>
        <w:pStyle w:val="7"/>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lang w:val="en-US" w:eastAsia="zh-CN"/>
        </w:rPr>
      </w:pPr>
      <w:r>
        <w:rPr>
          <w:rFonts w:hint="eastAsia" w:ascii="仿宋" w:hAnsi="仿宋" w:eastAsia="仿宋" w:cs="仿宋"/>
          <w:b w:val="0"/>
          <w:bCs w:val="0"/>
          <w:spacing w:val="0"/>
          <w:sz w:val="24"/>
          <w:szCs w:val="24"/>
          <w:u w:val="none"/>
          <w:lang w:val="en-US" w:eastAsia="zh-CN"/>
        </w:rPr>
        <w:t>自动监测数据和手工监测数据在国家排污许可信息公开系统平台（http://permit.mee.gov.cn ）和江苏省生态环境厅官网（http://sthj.jiangsu.gov.cn/）的环保脸谱公众监督平台进行信息公开。</w:t>
      </w:r>
    </w:p>
    <w:p w14:paraId="37D3334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仿宋" w:hAnsi="仿宋" w:eastAsia="仿宋" w:cs="仿宋"/>
          <w:b w:val="0"/>
          <w:bCs w:val="0"/>
          <w:spacing w:val="16"/>
          <w:position w:val="26"/>
          <w:sz w:val="24"/>
          <w:szCs w:val="24"/>
          <w:u w:val="none"/>
        </w:rPr>
      </w:pPr>
      <w:r>
        <w:rPr>
          <w:rFonts w:hint="eastAsia" w:ascii="仿宋" w:hAnsi="仿宋" w:eastAsia="仿宋" w:cs="仿宋"/>
          <w:b w:val="0"/>
          <w:bCs w:val="0"/>
          <w:spacing w:val="16"/>
          <w:position w:val="26"/>
          <w:sz w:val="24"/>
          <w:szCs w:val="24"/>
          <w:u w:val="none"/>
        </w:rPr>
        <w:t>(二)公布内容</w:t>
      </w:r>
    </w:p>
    <w:p w14:paraId="7AA3350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b w:val="0"/>
          <w:bCs w:val="0"/>
          <w:snapToGrid w:val="0"/>
          <w:color w:val="000000"/>
          <w:spacing w:val="0"/>
          <w:kern w:val="0"/>
          <w:sz w:val="24"/>
          <w:szCs w:val="24"/>
          <w:u w:val="none"/>
          <w:lang w:val="en-US" w:eastAsia="zh-CN" w:bidi="ar-SA"/>
        </w:rPr>
      </w:pPr>
      <w:r>
        <w:rPr>
          <w:rFonts w:hint="eastAsia" w:ascii="仿宋" w:hAnsi="仿宋" w:eastAsia="仿宋" w:cs="仿宋"/>
          <w:b w:val="0"/>
          <w:bCs w:val="0"/>
          <w:snapToGrid w:val="0"/>
          <w:color w:val="000000"/>
          <w:spacing w:val="0"/>
          <w:kern w:val="0"/>
          <w:sz w:val="24"/>
          <w:szCs w:val="24"/>
          <w:u w:val="none"/>
          <w:lang w:val="en-US" w:eastAsia="zh-CN" w:bidi="ar-SA"/>
        </w:rPr>
        <w:t>1、基础信息，包括单位名称、组织机构代码、法定代表人、生产地址、联系方式，以及生产经营和管理服务的主要内容、产品及规模；</w:t>
      </w:r>
    </w:p>
    <w:p w14:paraId="076E2F2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b w:val="0"/>
          <w:bCs w:val="0"/>
          <w:snapToGrid w:val="0"/>
          <w:color w:val="000000"/>
          <w:spacing w:val="0"/>
          <w:kern w:val="0"/>
          <w:sz w:val="24"/>
          <w:szCs w:val="24"/>
          <w:u w:val="none"/>
          <w:lang w:val="en-US" w:eastAsia="zh-CN" w:bidi="ar-SA"/>
        </w:rPr>
      </w:pPr>
      <w:r>
        <w:rPr>
          <w:rFonts w:hint="eastAsia" w:ascii="仿宋" w:hAnsi="仿宋" w:eastAsia="仿宋" w:cs="仿宋"/>
          <w:b w:val="0"/>
          <w:bCs w:val="0"/>
          <w:snapToGrid w:val="0"/>
          <w:color w:val="000000"/>
          <w:spacing w:val="0"/>
          <w:kern w:val="0"/>
          <w:sz w:val="24"/>
          <w:szCs w:val="24"/>
          <w:u w:val="none"/>
          <w:lang w:val="en-US" w:eastAsia="zh-CN" w:bidi="ar-SA"/>
        </w:rPr>
        <w:t>2、排污信息，包括主要污染物及特征污染物的名称、排放方式、排放口数量和分布情况、排放浓度和总量、超标情况，以及执行的污染物排放标准、核定的排放总量；</w:t>
      </w:r>
    </w:p>
    <w:p w14:paraId="6BF67CB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b w:val="0"/>
          <w:bCs w:val="0"/>
          <w:snapToGrid w:val="0"/>
          <w:color w:val="000000"/>
          <w:spacing w:val="0"/>
          <w:kern w:val="0"/>
          <w:sz w:val="24"/>
          <w:szCs w:val="24"/>
          <w:u w:val="none"/>
          <w:lang w:val="en-US" w:eastAsia="zh-CN" w:bidi="ar-SA"/>
        </w:rPr>
      </w:pPr>
      <w:r>
        <w:rPr>
          <w:rFonts w:hint="eastAsia" w:ascii="仿宋" w:hAnsi="仿宋" w:eastAsia="仿宋" w:cs="仿宋"/>
          <w:b w:val="0"/>
          <w:bCs w:val="0"/>
          <w:snapToGrid w:val="0"/>
          <w:color w:val="000000"/>
          <w:spacing w:val="0"/>
          <w:kern w:val="0"/>
          <w:sz w:val="24"/>
          <w:szCs w:val="24"/>
          <w:u w:val="none"/>
          <w:lang w:val="en-US" w:eastAsia="zh-CN" w:bidi="ar-SA"/>
        </w:rPr>
        <w:t>3、防治污染设施的建设和运行情况；</w:t>
      </w:r>
    </w:p>
    <w:p w14:paraId="7E9B655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b w:val="0"/>
          <w:bCs w:val="0"/>
          <w:snapToGrid w:val="0"/>
          <w:color w:val="000000"/>
          <w:spacing w:val="0"/>
          <w:kern w:val="0"/>
          <w:sz w:val="24"/>
          <w:szCs w:val="24"/>
          <w:u w:val="none"/>
          <w:lang w:val="en-US" w:eastAsia="zh-CN" w:bidi="ar-SA"/>
        </w:rPr>
      </w:pPr>
      <w:r>
        <w:rPr>
          <w:rFonts w:hint="eastAsia" w:ascii="仿宋" w:hAnsi="仿宋" w:eastAsia="仿宋" w:cs="仿宋"/>
          <w:b w:val="0"/>
          <w:bCs w:val="0"/>
          <w:snapToGrid w:val="0"/>
          <w:color w:val="000000"/>
          <w:spacing w:val="0"/>
          <w:kern w:val="0"/>
          <w:sz w:val="24"/>
          <w:szCs w:val="24"/>
          <w:u w:val="none"/>
          <w:lang w:val="en-US" w:eastAsia="zh-CN" w:bidi="ar-SA"/>
        </w:rPr>
        <w:t>4、建设项目环境影响评价及其他环境保护行政许可情况；</w:t>
      </w:r>
    </w:p>
    <w:p w14:paraId="7731933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b w:val="0"/>
          <w:bCs w:val="0"/>
          <w:snapToGrid w:val="0"/>
          <w:color w:val="000000"/>
          <w:spacing w:val="0"/>
          <w:kern w:val="0"/>
          <w:sz w:val="24"/>
          <w:szCs w:val="24"/>
          <w:u w:val="none"/>
          <w:lang w:val="en-US" w:eastAsia="zh-CN" w:bidi="ar-SA"/>
        </w:rPr>
      </w:pPr>
      <w:r>
        <w:rPr>
          <w:rFonts w:hint="eastAsia" w:ascii="仿宋" w:hAnsi="仿宋" w:eastAsia="仿宋" w:cs="仿宋"/>
          <w:b w:val="0"/>
          <w:bCs w:val="0"/>
          <w:snapToGrid w:val="0"/>
          <w:color w:val="000000"/>
          <w:spacing w:val="0"/>
          <w:kern w:val="0"/>
          <w:sz w:val="24"/>
          <w:szCs w:val="24"/>
          <w:u w:val="none"/>
          <w:lang w:val="en-US" w:eastAsia="zh-CN" w:bidi="ar-SA"/>
        </w:rPr>
        <w:t>5、医院自行监测方案；</w:t>
      </w:r>
    </w:p>
    <w:p w14:paraId="232D62C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b w:val="0"/>
          <w:bCs w:val="0"/>
          <w:snapToGrid w:val="0"/>
          <w:color w:val="000000"/>
          <w:spacing w:val="0"/>
          <w:kern w:val="0"/>
          <w:sz w:val="24"/>
          <w:szCs w:val="24"/>
          <w:u w:val="none"/>
          <w:lang w:val="en-US" w:eastAsia="zh-CN" w:bidi="ar-SA"/>
        </w:rPr>
      </w:pPr>
      <w:r>
        <w:rPr>
          <w:rFonts w:hint="eastAsia" w:ascii="仿宋" w:hAnsi="仿宋" w:eastAsia="仿宋" w:cs="仿宋"/>
          <w:b w:val="0"/>
          <w:bCs w:val="0"/>
          <w:snapToGrid w:val="0"/>
          <w:color w:val="000000"/>
          <w:spacing w:val="0"/>
          <w:kern w:val="0"/>
          <w:sz w:val="24"/>
          <w:szCs w:val="24"/>
          <w:u w:val="none"/>
          <w:lang w:val="en-US" w:eastAsia="zh-CN" w:bidi="ar-SA"/>
        </w:rPr>
        <w:t>6、未开展自行监测的原因；</w:t>
      </w:r>
    </w:p>
    <w:p w14:paraId="6B7CC50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b w:val="0"/>
          <w:bCs w:val="0"/>
          <w:snapToGrid w:val="0"/>
          <w:color w:val="000000"/>
          <w:spacing w:val="0"/>
          <w:kern w:val="0"/>
          <w:sz w:val="24"/>
          <w:szCs w:val="24"/>
          <w:u w:val="none"/>
          <w:lang w:val="en-US" w:eastAsia="zh-CN" w:bidi="ar-SA"/>
        </w:rPr>
      </w:pPr>
      <w:r>
        <w:rPr>
          <w:rFonts w:hint="eastAsia" w:ascii="仿宋" w:hAnsi="仿宋" w:eastAsia="仿宋" w:cs="仿宋"/>
          <w:b w:val="0"/>
          <w:bCs w:val="0"/>
          <w:snapToGrid w:val="0"/>
          <w:color w:val="000000"/>
          <w:spacing w:val="0"/>
          <w:kern w:val="0"/>
          <w:sz w:val="24"/>
          <w:szCs w:val="24"/>
          <w:u w:val="none"/>
          <w:lang w:val="en-US" w:eastAsia="zh-CN" w:bidi="ar-SA"/>
        </w:rPr>
        <w:t>7、自行监测年度报告；</w:t>
      </w:r>
    </w:p>
    <w:p w14:paraId="4285ADA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b w:val="0"/>
          <w:bCs w:val="0"/>
          <w:snapToGrid w:val="0"/>
          <w:color w:val="000000"/>
          <w:spacing w:val="0"/>
          <w:kern w:val="0"/>
          <w:sz w:val="24"/>
          <w:szCs w:val="24"/>
          <w:u w:val="none"/>
          <w:lang w:val="en-US" w:eastAsia="zh-CN" w:bidi="ar-SA"/>
        </w:rPr>
      </w:pPr>
      <w:r>
        <w:rPr>
          <w:rFonts w:hint="eastAsia" w:ascii="仿宋" w:hAnsi="仿宋" w:eastAsia="仿宋" w:cs="仿宋"/>
          <w:b w:val="0"/>
          <w:bCs w:val="0"/>
          <w:snapToGrid w:val="0"/>
          <w:color w:val="000000"/>
          <w:spacing w:val="0"/>
          <w:kern w:val="0"/>
          <w:sz w:val="24"/>
          <w:szCs w:val="24"/>
          <w:u w:val="none"/>
          <w:lang w:val="en-US" w:eastAsia="zh-CN" w:bidi="ar-SA"/>
        </w:rPr>
        <w:t>8、突发环境事件应急预案。</w:t>
      </w:r>
    </w:p>
    <w:p w14:paraId="33A81A4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仿宋" w:hAnsi="仿宋" w:eastAsia="仿宋" w:cs="仿宋"/>
          <w:b w:val="0"/>
          <w:bCs w:val="0"/>
          <w:spacing w:val="16"/>
          <w:position w:val="26"/>
          <w:sz w:val="24"/>
          <w:szCs w:val="24"/>
          <w:u w:val="none"/>
        </w:rPr>
      </w:pPr>
      <w:r>
        <w:rPr>
          <w:rFonts w:hint="eastAsia" w:ascii="仿宋" w:hAnsi="仿宋" w:eastAsia="仿宋" w:cs="仿宋"/>
          <w:b w:val="0"/>
          <w:bCs w:val="0"/>
          <w:spacing w:val="16"/>
          <w:position w:val="26"/>
          <w:sz w:val="24"/>
          <w:szCs w:val="24"/>
          <w:u w:val="none"/>
        </w:rPr>
        <w:t>(三)公布时限</w:t>
      </w:r>
    </w:p>
    <w:p w14:paraId="56B9168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b w:val="0"/>
          <w:bCs w:val="0"/>
          <w:snapToGrid w:val="0"/>
          <w:color w:val="000000"/>
          <w:spacing w:val="0"/>
          <w:kern w:val="0"/>
          <w:sz w:val="24"/>
          <w:szCs w:val="24"/>
          <w:u w:val="none"/>
          <w:lang w:val="en-US" w:eastAsia="zh-CN" w:bidi="ar-SA"/>
        </w:rPr>
      </w:pPr>
      <w:r>
        <w:rPr>
          <w:rFonts w:hint="eastAsia" w:ascii="仿宋" w:hAnsi="仿宋" w:eastAsia="仿宋" w:cs="仿宋"/>
          <w:b w:val="0"/>
          <w:bCs w:val="0"/>
          <w:snapToGrid w:val="0"/>
          <w:color w:val="000000"/>
          <w:spacing w:val="0"/>
          <w:kern w:val="0"/>
          <w:sz w:val="24"/>
          <w:szCs w:val="24"/>
          <w:u w:val="none"/>
          <w:lang w:val="en-US" w:eastAsia="zh-CN" w:bidi="ar-SA"/>
        </w:rPr>
        <w:t>1、企业基础信息随监测数据一并公布，基础信息、自行监测方案一经审核备案，一年内不得更改；</w:t>
      </w:r>
    </w:p>
    <w:p w14:paraId="4A71125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b w:val="0"/>
          <w:bCs w:val="0"/>
          <w:snapToGrid w:val="0"/>
          <w:color w:val="000000"/>
          <w:spacing w:val="0"/>
          <w:kern w:val="0"/>
          <w:sz w:val="24"/>
          <w:szCs w:val="24"/>
          <w:u w:val="none"/>
          <w:lang w:val="en-US" w:eastAsia="zh-CN" w:bidi="ar-SA"/>
        </w:rPr>
      </w:pPr>
      <w:r>
        <w:rPr>
          <w:rFonts w:hint="eastAsia" w:ascii="仿宋" w:hAnsi="仿宋" w:eastAsia="仿宋" w:cs="仿宋"/>
          <w:b w:val="0"/>
          <w:bCs w:val="0"/>
          <w:snapToGrid w:val="0"/>
          <w:color w:val="000000"/>
          <w:spacing w:val="0"/>
          <w:kern w:val="0"/>
          <w:sz w:val="24"/>
          <w:szCs w:val="24"/>
          <w:u w:val="none"/>
          <w:lang w:val="en-US" w:eastAsia="zh-CN" w:bidi="ar-SA"/>
        </w:rPr>
        <w:t>2、手工监测数据根据监测频次按时监测；</w:t>
      </w:r>
    </w:p>
    <w:p w14:paraId="31A7196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b w:val="0"/>
          <w:bCs w:val="0"/>
          <w:snapToGrid w:val="0"/>
          <w:color w:val="000000"/>
          <w:spacing w:val="0"/>
          <w:kern w:val="0"/>
          <w:sz w:val="24"/>
          <w:szCs w:val="24"/>
          <w:u w:val="none"/>
          <w:lang w:val="en-US" w:eastAsia="zh-CN" w:bidi="ar-SA"/>
        </w:rPr>
      </w:pPr>
      <w:r>
        <w:rPr>
          <w:rFonts w:hint="eastAsia" w:ascii="仿宋" w:hAnsi="仿宋" w:eastAsia="仿宋" w:cs="仿宋"/>
          <w:b w:val="0"/>
          <w:bCs w:val="0"/>
          <w:snapToGrid w:val="0"/>
          <w:color w:val="000000"/>
          <w:spacing w:val="0"/>
          <w:kern w:val="0"/>
          <w:sz w:val="24"/>
          <w:szCs w:val="24"/>
          <w:u w:val="none"/>
          <w:lang w:val="en-US" w:eastAsia="zh-CN" w:bidi="ar-SA"/>
        </w:rPr>
        <w:t>3、自动监测数据实时公布，自动监测设备产生的数据为小时均值；</w:t>
      </w:r>
    </w:p>
    <w:p w14:paraId="67F2671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b w:val="0"/>
          <w:bCs w:val="0"/>
          <w:snapToGrid w:val="0"/>
          <w:color w:val="000000"/>
          <w:spacing w:val="0"/>
          <w:kern w:val="0"/>
          <w:sz w:val="24"/>
          <w:szCs w:val="24"/>
          <w:u w:val="none"/>
          <w:lang w:val="en-US" w:eastAsia="zh-CN" w:bidi="ar-SA"/>
        </w:rPr>
      </w:pPr>
      <w:r>
        <w:rPr>
          <w:rFonts w:hint="eastAsia" w:ascii="仿宋" w:hAnsi="仿宋" w:eastAsia="仿宋" w:cs="仿宋"/>
          <w:b w:val="0"/>
          <w:bCs w:val="0"/>
          <w:snapToGrid w:val="0"/>
          <w:color w:val="000000"/>
          <w:spacing w:val="0"/>
          <w:kern w:val="0"/>
          <w:sz w:val="24"/>
          <w:szCs w:val="24"/>
          <w:u w:val="none"/>
          <w:lang w:val="en-US" w:eastAsia="zh-CN" w:bidi="ar-SA"/>
        </w:rPr>
        <w:t>4、每年元月底前公布上年度自行监测年度报告。</w:t>
      </w:r>
    </w:p>
    <w:p w14:paraId="31958FA0">
      <w:pPr>
        <w:pStyle w:val="20"/>
        <w:spacing w:line="400" w:lineRule="exact"/>
        <w:rPr>
          <w:rFonts w:hint="default" w:ascii="仿宋" w:hAnsi="仿宋" w:eastAsia="仿宋" w:cs="仿宋"/>
          <w:b w:val="0"/>
          <w:bCs w:val="0"/>
          <w:sz w:val="28"/>
          <w:szCs w:val="28"/>
          <w:u w:val="none"/>
          <w:lang w:val="en-US" w:eastAsia="zh-CN"/>
        </w:rPr>
      </w:pPr>
    </w:p>
    <w:sectPr>
      <w:pgSz w:w="11906" w:h="16838"/>
      <w:pgMar w:top="1157" w:right="839" w:bottom="1157" w:left="839"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2"/>
      </w:pPr>
      <w:r>
        <w:separator/>
      </w:r>
    </w:p>
  </w:endnote>
  <w:endnote w:type="continuationSeparator" w:id="1">
    <w:p>
      <w:pPr>
        <w:spacing w:line="240" w:lineRule="auto"/>
        <w:ind w:firstLine="56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20C9C">
    <w:pPr>
      <w:pStyle w:val="11"/>
      <w:ind w:firstLine="36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4A1EF6">
                          <w:pPr>
                            <w:pStyle w:val="11"/>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C4A1EF6">
                    <w:pPr>
                      <w:pStyle w:val="11"/>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2"/>
      </w:pPr>
      <w:r>
        <w:separator/>
      </w:r>
    </w:p>
  </w:footnote>
  <w:footnote w:type="continuationSeparator" w:id="1">
    <w:p>
      <w:pPr>
        <w:spacing w:line="240" w:lineRule="auto"/>
        <w:ind w:firstLine="56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E7A91">
    <w:pPr>
      <w:pStyle w:val="12"/>
      <w:ind w:firstLine="2640" w:firstLineChars="1100"/>
      <w:jc w:val="both"/>
      <w:rPr>
        <w:rFonts w:hint="eastAsia"/>
        <w:b w:val="0"/>
        <w:bCs w:val="0"/>
        <w:sz w:val="24"/>
        <w:szCs w:val="24"/>
        <w:u w:val="none"/>
      </w:rPr>
    </w:pPr>
    <w:r>
      <w:rPr>
        <w:rFonts w:hint="eastAsia"/>
        <w:b w:val="0"/>
        <w:bCs w:val="0"/>
        <w:sz w:val="24"/>
        <w:szCs w:val="24"/>
        <w:u w:val="none"/>
      </w:rPr>
      <w:t>南京市溧水区人民医院询价采购文件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92129">
    <w:pPr>
      <w:pStyle w:val="12"/>
      <w:ind w:firstLine="361"/>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C242A5"/>
    <w:multiLevelType w:val="singleLevel"/>
    <w:tmpl w:val="EDC242A5"/>
    <w:lvl w:ilvl="0" w:tentative="0">
      <w:start w:val="1"/>
      <w:numFmt w:val="decimal"/>
      <w:suff w:val="nothing"/>
      <w:lvlText w:val="（%1）"/>
      <w:lvlJc w:val="left"/>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3566404D"/>
    <w:multiLevelType w:val="multilevel"/>
    <w:tmpl w:val="3566404D"/>
    <w:lvl w:ilvl="0" w:tentative="0">
      <w:start w:val="5"/>
      <w:numFmt w:val="japaneseCounting"/>
      <w:pStyle w:val="3"/>
      <w:lvlText w:val="%1、"/>
      <w:lvlJc w:val="left"/>
      <w:pPr>
        <w:ind w:left="764" w:hanging="480"/>
      </w:pPr>
      <w:rPr>
        <w:rFonts w:hint="default"/>
        <w:u w:val="none"/>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3">
    <w:nsid w:val="55AAB3E4"/>
    <w:multiLevelType w:val="singleLevel"/>
    <w:tmpl w:val="55AAB3E4"/>
    <w:lvl w:ilvl="0" w:tentative="0">
      <w:start w:val="1"/>
      <w:numFmt w:val="decimal"/>
      <w:suff w:val="nothing"/>
      <w:lvlText w:val="%1、"/>
      <w:lvlJc w:val="left"/>
    </w:lvl>
  </w:abstractNum>
  <w:abstractNum w:abstractNumId="4">
    <w:nsid w:val="7B64B73A"/>
    <w:multiLevelType w:val="singleLevel"/>
    <w:tmpl w:val="7B64B73A"/>
    <w:lvl w:ilvl="0" w:tentative="0">
      <w:start w:val="3"/>
      <w:numFmt w:val="chineseCounting"/>
      <w:suff w:val="nothing"/>
      <w:lvlText w:val="%1、"/>
      <w:lvlJc w:val="left"/>
      <w:rPr>
        <w:rFonts w:hint="eastAsia"/>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mEzODRiNzNmMWRiYjNiOTIyN2FiNDAxMDY0NjIifQ=="/>
  </w:docVars>
  <w:rsids>
    <w:rsidRoot w:val="44F34016"/>
    <w:rsid w:val="002E5E63"/>
    <w:rsid w:val="0037072E"/>
    <w:rsid w:val="005624DF"/>
    <w:rsid w:val="00652736"/>
    <w:rsid w:val="0069410C"/>
    <w:rsid w:val="006A4C8B"/>
    <w:rsid w:val="006F3B5B"/>
    <w:rsid w:val="00747428"/>
    <w:rsid w:val="007541A3"/>
    <w:rsid w:val="007E2AE7"/>
    <w:rsid w:val="00955E28"/>
    <w:rsid w:val="009877E0"/>
    <w:rsid w:val="00A81A52"/>
    <w:rsid w:val="00AE403B"/>
    <w:rsid w:val="00B90BFD"/>
    <w:rsid w:val="00DA1880"/>
    <w:rsid w:val="00DF2B96"/>
    <w:rsid w:val="00ED3F0C"/>
    <w:rsid w:val="01764026"/>
    <w:rsid w:val="020A533B"/>
    <w:rsid w:val="02BA37B0"/>
    <w:rsid w:val="02F41CAD"/>
    <w:rsid w:val="054170C6"/>
    <w:rsid w:val="05F01509"/>
    <w:rsid w:val="0727186C"/>
    <w:rsid w:val="08C3481A"/>
    <w:rsid w:val="09594CC4"/>
    <w:rsid w:val="0C351327"/>
    <w:rsid w:val="0CDB51C5"/>
    <w:rsid w:val="0DCD726B"/>
    <w:rsid w:val="0E9B21F9"/>
    <w:rsid w:val="0F672DA8"/>
    <w:rsid w:val="1083694C"/>
    <w:rsid w:val="11140D0D"/>
    <w:rsid w:val="113D0264"/>
    <w:rsid w:val="11A55E09"/>
    <w:rsid w:val="129B16E6"/>
    <w:rsid w:val="15F9365C"/>
    <w:rsid w:val="167C538B"/>
    <w:rsid w:val="172E012D"/>
    <w:rsid w:val="17547981"/>
    <w:rsid w:val="17A80770"/>
    <w:rsid w:val="1C2529FF"/>
    <w:rsid w:val="1E6C03DB"/>
    <w:rsid w:val="1F8E1CF8"/>
    <w:rsid w:val="21035955"/>
    <w:rsid w:val="215A276C"/>
    <w:rsid w:val="23201794"/>
    <w:rsid w:val="23201F60"/>
    <w:rsid w:val="232C1E94"/>
    <w:rsid w:val="25D32AED"/>
    <w:rsid w:val="26F43327"/>
    <w:rsid w:val="274A419B"/>
    <w:rsid w:val="278F4358"/>
    <w:rsid w:val="27BB1274"/>
    <w:rsid w:val="288829C2"/>
    <w:rsid w:val="289C7F3C"/>
    <w:rsid w:val="29220EF6"/>
    <w:rsid w:val="2B8A65D1"/>
    <w:rsid w:val="2C4F66C1"/>
    <w:rsid w:val="2C917248"/>
    <w:rsid w:val="2FAB0A48"/>
    <w:rsid w:val="312F39C2"/>
    <w:rsid w:val="32EC2DE5"/>
    <w:rsid w:val="3361798A"/>
    <w:rsid w:val="34E30FF8"/>
    <w:rsid w:val="362E19ED"/>
    <w:rsid w:val="38477A29"/>
    <w:rsid w:val="38E2045E"/>
    <w:rsid w:val="3B522D42"/>
    <w:rsid w:val="3C1341E6"/>
    <w:rsid w:val="3D5F13DF"/>
    <w:rsid w:val="3F8C69B3"/>
    <w:rsid w:val="403F29F9"/>
    <w:rsid w:val="4045536F"/>
    <w:rsid w:val="413F4E58"/>
    <w:rsid w:val="424E09CC"/>
    <w:rsid w:val="4287437F"/>
    <w:rsid w:val="43B15A7D"/>
    <w:rsid w:val="44F34016"/>
    <w:rsid w:val="455F4BCC"/>
    <w:rsid w:val="45F811DF"/>
    <w:rsid w:val="46404CE5"/>
    <w:rsid w:val="464E42B2"/>
    <w:rsid w:val="47197C34"/>
    <w:rsid w:val="47431AC0"/>
    <w:rsid w:val="48665371"/>
    <w:rsid w:val="49675177"/>
    <w:rsid w:val="49C5228A"/>
    <w:rsid w:val="49C82D31"/>
    <w:rsid w:val="4A9311B5"/>
    <w:rsid w:val="4AE5697A"/>
    <w:rsid w:val="4B2058B1"/>
    <w:rsid w:val="4B8054E5"/>
    <w:rsid w:val="4CD10909"/>
    <w:rsid w:val="4CFA195C"/>
    <w:rsid w:val="50C3182D"/>
    <w:rsid w:val="50C939BF"/>
    <w:rsid w:val="51644DBE"/>
    <w:rsid w:val="567C0974"/>
    <w:rsid w:val="57623B4D"/>
    <w:rsid w:val="591438A3"/>
    <w:rsid w:val="5A054C64"/>
    <w:rsid w:val="5AE34FA5"/>
    <w:rsid w:val="5B5072E3"/>
    <w:rsid w:val="5C314C9D"/>
    <w:rsid w:val="5DDD2297"/>
    <w:rsid w:val="5FB177E8"/>
    <w:rsid w:val="61365212"/>
    <w:rsid w:val="62620EA5"/>
    <w:rsid w:val="63B53257"/>
    <w:rsid w:val="65984BDE"/>
    <w:rsid w:val="66DA2A9C"/>
    <w:rsid w:val="66E44404"/>
    <w:rsid w:val="6736026A"/>
    <w:rsid w:val="688309D1"/>
    <w:rsid w:val="694C2C2B"/>
    <w:rsid w:val="6A04258F"/>
    <w:rsid w:val="6BF16DF6"/>
    <w:rsid w:val="6DD95D94"/>
    <w:rsid w:val="6E3F1A2D"/>
    <w:rsid w:val="6EA53724"/>
    <w:rsid w:val="704213F0"/>
    <w:rsid w:val="71363BAA"/>
    <w:rsid w:val="72E176CB"/>
    <w:rsid w:val="737E18B7"/>
    <w:rsid w:val="74C21625"/>
    <w:rsid w:val="75267B11"/>
    <w:rsid w:val="765121C2"/>
    <w:rsid w:val="771860A1"/>
    <w:rsid w:val="780F1669"/>
    <w:rsid w:val="78581143"/>
    <w:rsid w:val="7AB4735A"/>
    <w:rsid w:val="7C400B1D"/>
    <w:rsid w:val="7F5E7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80" w:lineRule="exact"/>
      <w:ind w:firstLine="562" w:firstLineChars="200"/>
      <w:jc w:val="both"/>
    </w:pPr>
    <w:rPr>
      <w:rFonts w:ascii="仿宋" w:hAnsi="仿宋" w:eastAsia="仿宋" w:cs="Times New Roman"/>
      <w:b/>
      <w:bCs/>
      <w:kern w:val="2"/>
      <w:sz w:val="28"/>
      <w:szCs w:val="28"/>
      <w:u w:val="single"/>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val="0"/>
      <w:bCs w:val="0"/>
      <w:kern w:val="44"/>
      <w:sz w:val="44"/>
      <w:szCs w:val="44"/>
    </w:rPr>
  </w:style>
  <w:style w:type="paragraph" w:styleId="3">
    <w:name w:val="heading 2"/>
    <w:basedOn w:val="1"/>
    <w:next w:val="1"/>
    <w:autoRedefine/>
    <w:qFormat/>
    <w:uiPriority w:val="0"/>
    <w:pPr>
      <w:keepNext/>
      <w:keepLines/>
      <w:numPr>
        <w:ilvl w:val="0"/>
        <w:numId w:val="1"/>
      </w:numPr>
      <w:spacing w:before="260" w:after="260" w:line="416" w:lineRule="auto"/>
      <w:ind w:firstLine="0" w:firstLineChars="0"/>
      <w:outlineLvl w:val="1"/>
    </w:pPr>
    <w:rPr>
      <w:b w:val="0"/>
      <w:bCs w:val="0"/>
      <w:kern w:val="0"/>
    </w:rPr>
  </w:style>
  <w:style w:type="paragraph" w:styleId="4">
    <w:name w:val="heading 4"/>
    <w:basedOn w:val="1"/>
    <w:next w:val="1"/>
    <w:autoRedefine/>
    <w:qFormat/>
    <w:uiPriority w:val="9"/>
    <w:pPr>
      <w:keepNext/>
      <w:keepLines/>
      <w:spacing w:before="280" w:after="290" w:line="376" w:lineRule="auto"/>
      <w:outlineLvl w:val="3"/>
    </w:pPr>
    <w:rPr>
      <w:rFonts w:ascii="Cambria" w:hAnsi="Cambria"/>
      <w:b w:val="0"/>
      <w:bCs w:val="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style>
  <w:style w:type="paragraph" w:styleId="6">
    <w:name w:val="annotation text"/>
    <w:basedOn w:val="1"/>
    <w:autoRedefine/>
    <w:qFormat/>
    <w:uiPriority w:val="0"/>
    <w:pPr>
      <w:jc w:val="left"/>
    </w:pPr>
  </w:style>
  <w:style w:type="paragraph" w:styleId="7">
    <w:name w:val="Body Text"/>
    <w:basedOn w:val="1"/>
    <w:autoRedefine/>
    <w:qFormat/>
    <w:uiPriority w:val="0"/>
    <w:rPr>
      <w:rFonts w:ascii="楷体_GB2312" w:hAnsi="Arial" w:eastAsia="楷体_GB2312"/>
      <w:kern w:val="0"/>
      <w:szCs w:val="20"/>
    </w:rPr>
  </w:style>
  <w:style w:type="paragraph" w:styleId="8">
    <w:name w:val="Block Text"/>
    <w:basedOn w:val="1"/>
    <w:autoRedefine/>
    <w:unhideWhenUsed/>
    <w:qFormat/>
    <w:uiPriority w:val="99"/>
    <w:pPr>
      <w:spacing w:after="120"/>
      <w:ind w:left="1440" w:leftChars="700" w:right="1440" w:rightChars="700"/>
    </w:pPr>
  </w:style>
  <w:style w:type="paragraph" w:styleId="9">
    <w:name w:val="index 4"/>
    <w:basedOn w:val="1"/>
    <w:next w:val="1"/>
    <w:autoRedefine/>
    <w:unhideWhenUsed/>
    <w:qFormat/>
    <w:uiPriority w:val="99"/>
    <w:pPr>
      <w:ind w:left="600" w:leftChars="600"/>
    </w:pPr>
    <w:rPr>
      <w:rFonts w:ascii="Verdana" w:hAnsi="Verdana"/>
      <w:szCs w:val="20"/>
    </w:rPr>
  </w:style>
  <w:style w:type="paragraph" w:styleId="10">
    <w:name w:val="Plain Text"/>
    <w:basedOn w:val="1"/>
    <w:autoRedefine/>
    <w:qFormat/>
    <w:uiPriority w:val="0"/>
    <w:rPr>
      <w:rFonts w:ascii="宋体" w:hAnsi="Calibri" w:cs="Courier New"/>
      <w:szCs w:val="21"/>
    </w:rPr>
  </w:style>
  <w:style w:type="paragraph" w:styleId="11">
    <w:name w:val="footer"/>
    <w:basedOn w:val="1"/>
    <w:autoRedefine/>
    <w:unhideWhenUsed/>
    <w:qFormat/>
    <w:uiPriority w:val="99"/>
    <w:pPr>
      <w:tabs>
        <w:tab w:val="center" w:pos="4153"/>
        <w:tab w:val="right" w:pos="8306"/>
      </w:tabs>
      <w:snapToGrid w:val="0"/>
      <w:jc w:val="left"/>
    </w:pPr>
    <w:rPr>
      <w:sz w:val="18"/>
      <w:szCs w:val="18"/>
    </w:rPr>
  </w:style>
  <w:style w:type="paragraph" w:styleId="12">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autoRedefine/>
    <w:semiHidden/>
    <w:qFormat/>
    <w:uiPriority w:val="0"/>
    <w:pPr>
      <w:ind w:left="420" w:leftChars="200"/>
    </w:pPr>
    <w:rPr>
      <w:szCs w:val="20"/>
    </w:rPr>
  </w:style>
  <w:style w:type="paragraph" w:styleId="14">
    <w:name w:val="Normal (Web)"/>
    <w:basedOn w:val="1"/>
    <w:autoRedefine/>
    <w:qFormat/>
    <w:uiPriority w:val="99"/>
    <w:pPr>
      <w:widowControl/>
      <w:shd w:val="clear" w:color="auto" w:fill="FFFFFF"/>
      <w:spacing w:before="100" w:after="100"/>
      <w:ind w:left="1470" w:right="1470" w:firstLine="555"/>
    </w:pPr>
    <w:rPr>
      <w:rFonts w:cs="宋体"/>
      <w:kern w:val="0"/>
      <w:szCs w:val="21"/>
    </w:rPr>
  </w:style>
  <w:style w:type="paragraph" w:styleId="15">
    <w:name w:val="Body Text First Indent"/>
    <w:basedOn w:val="7"/>
    <w:autoRedefine/>
    <w:qFormat/>
    <w:uiPriority w:val="99"/>
    <w:pPr>
      <w:spacing w:line="360" w:lineRule="auto"/>
      <w:ind w:firstLine="420" w:firstLineChars="100"/>
    </w:pPr>
    <w:rPr>
      <w:rFonts w:ascii="Times New Roman" w:hAnsi="Times New Roman"/>
      <w:szCs w:val="21"/>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9">
    <w:name w:val="Hyperlink"/>
    <w:basedOn w:val="18"/>
    <w:autoRedefine/>
    <w:qFormat/>
    <w:uiPriority w:val="0"/>
    <w:rPr>
      <w:color w:val="0000FF"/>
      <w:u w:val="single"/>
    </w:rPr>
  </w:style>
  <w:style w:type="paragraph" w:customStyle="1" w:styleId="20">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列表段落1"/>
    <w:basedOn w:val="1"/>
    <w:autoRedefine/>
    <w:qFormat/>
    <w:uiPriority w:val="34"/>
    <w:pPr>
      <w:ind w:firstLine="420"/>
    </w:pPr>
  </w:style>
  <w:style w:type="character" w:customStyle="1" w:styleId="22">
    <w:name w:val="font51"/>
    <w:basedOn w:val="18"/>
    <w:autoRedefine/>
    <w:qFormat/>
    <w:uiPriority w:val="0"/>
    <w:rPr>
      <w:rFonts w:hint="default" w:ascii="等线" w:hAnsi="等线" w:eastAsia="等线" w:cs="等线"/>
      <w:color w:val="000000"/>
      <w:sz w:val="22"/>
      <w:szCs w:val="22"/>
      <w:u w:val="none"/>
    </w:rPr>
  </w:style>
  <w:style w:type="paragraph" w:styleId="23">
    <w:name w:val="List Paragraph"/>
    <w:basedOn w:val="1"/>
    <w:autoRedefine/>
    <w:unhideWhenUsed/>
    <w:qFormat/>
    <w:uiPriority w:val="99"/>
    <w:pPr>
      <w:ind w:firstLine="420"/>
    </w:pPr>
  </w:style>
  <w:style w:type="paragraph" w:customStyle="1" w:styleId="24">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5">
    <w:name w:val="正文1"/>
    <w:basedOn w:val="1"/>
    <w:autoRedefine/>
    <w:qFormat/>
    <w:uiPriority w:val="0"/>
    <w:pPr>
      <w:widowControl/>
      <w:spacing w:line="440" w:lineRule="exact"/>
      <w:ind w:right="-167" w:rightChars="-167"/>
    </w:pPr>
  </w:style>
  <w:style w:type="paragraph" w:customStyle="1" w:styleId="26">
    <w:name w:val="二级无"/>
    <w:basedOn w:val="27"/>
    <w:autoRedefine/>
    <w:qFormat/>
    <w:uiPriority w:val="0"/>
    <w:pPr>
      <w:spacing w:before="0" w:beforeLines="0" w:after="0" w:afterLines="0"/>
    </w:pPr>
    <w:rPr>
      <w:rFonts w:ascii="宋体" w:eastAsia="宋体"/>
    </w:rPr>
  </w:style>
  <w:style w:type="paragraph" w:customStyle="1" w:styleId="27">
    <w:name w:val="二级条标题"/>
    <w:basedOn w:val="28"/>
    <w:next w:val="29"/>
    <w:autoRedefine/>
    <w:qFormat/>
    <w:uiPriority w:val="0"/>
    <w:pPr>
      <w:numPr>
        <w:ilvl w:val="2"/>
      </w:numPr>
      <w:spacing w:before="50" w:after="50"/>
      <w:outlineLvl w:val="3"/>
    </w:pPr>
  </w:style>
  <w:style w:type="paragraph" w:customStyle="1" w:styleId="28">
    <w:name w:val="一级条标题"/>
    <w:next w:val="29"/>
    <w:autoRedefine/>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9">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0">
    <w:name w:val="Table Text"/>
    <w:basedOn w:val="1"/>
    <w:semiHidden/>
    <w:qFormat/>
    <w:uiPriority w:val="0"/>
    <w:rPr>
      <w:rFonts w:ascii="宋体" w:hAnsi="宋体" w:eastAsia="宋体" w:cs="宋体"/>
      <w:sz w:val="21"/>
      <w:szCs w:val="21"/>
      <w:lang w:val="en-US" w:eastAsia="en-US" w:bidi="ar-SA"/>
    </w:rPr>
  </w:style>
  <w:style w:type="table" w:customStyle="1" w:styleId="3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8650</Words>
  <Characters>9200</Characters>
  <Lines>36</Lines>
  <Paragraphs>10</Paragraphs>
  <TotalTime>0</TotalTime>
  <ScaleCrop>false</ScaleCrop>
  <LinksUpToDate>false</LinksUpToDate>
  <CharactersWithSpaces>9695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2023-11-08T08:32:00Z</dcterms:created>
  <dc:creator>NTKO</dc:creator>
  <cp:lastModifiedBy>秦婕</cp:lastModifiedBy>
  <cp:lastPrinted>2024-10-11T01:17:00Z</cp:lastPrinted>
  <dcterms:modified xsi:type="dcterms:W3CDTF">2024-12-20T02:28:29Z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00CCEF3E5DC3442691FB2D960939DBEF_13</vt:lpwstr>
  </property>
</Properties>
</file>