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000000"/>
          <w:sz w:val="76"/>
          <w:szCs w:val="76"/>
        </w:rPr>
      </w:pPr>
    </w:p>
    <w:p w14:paraId="4B82111B">
      <w:pPr>
        <w:tabs>
          <w:tab w:val="left" w:pos="390"/>
          <w:tab w:val="center" w:pos="4404"/>
        </w:tabs>
        <w:jc w:val="center"/>
        <w:rPr>
          <w:rFonts w:hint="eastAsia" w:ascii="黑体" w:hAnsi="宋体" w:eastAsia="黑体"/>
          <w:color w:val="000000"/>
          <w:sz w:val="76"/>
          <w:szCs w:val="76"/>
        </w:rPr>
      </w:pPr>
    </w:p>
    <w:p w14:paraId="57D7180B">
      <w:pPr>
        <w:tabs>
          <w:tab w:val="left" w:pos="390"/>
          <w:tab w:val="center" w:pos="4404"/>
        </w:tabs>
        <w:jc w:val="center"/>
        <w:rPr>
          <w:rFonts w:hint="eastAsia" w:ascii="黑体" w:hAnsi="宋体" w:eastAsia="黑体"/>
          <w:color w:val="000000"/>
          <w:sz w:val="76"/>
          <w:szCs w:val="76"/>
        </w:rPr>
      </w:pPr>
    </w:p>
    <w:p w14:paraId="71C232AA">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421E8756">
      <w:pPr>
        <w:jc w:val="center"/>
        <w:rPr>
          <w:rFonts w:hint="eastAsia" w:ascii="黑体" w:hAnsi="宋体" w:eastAsia="黑体"/>
          <w:color w:val="000000"/>
          <w:sz w:val="32"/>
        </w:rPr>
      </w:pPr>
    </w:p>
    <w:p w14:paraId="283AD785">
      <w:pPr>
        <w:jc w:val="center"/>
        <w:rPr>
          <w:rFonts w:hint="eastAsia" w:ascii="黑体" w:hAnsi="宋体" w:eastAsia="黑体"/>
          <w:color w:val="000000"/>
          <w:sz w:val="32"/>
        </w:rPr>
      </w:pPr>
    </w:p>
    <w:p w14:paraId="746AC4A8">
      <w:pPr>
        <w:jc w:val="center"/>
        <w:rPr>
          <w:rFonts w:hint="eastAsia" w:ascii="黑体" w:hAnsi="宋体" w:eastAsia="黑体"/>
          <w:color w:val="000000"/>
          <w:sz w:val="32"/>
        </w:rPr>
      </w:pPr>
    </w:p>
    <w:p w14:paraId="3F075BD7">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3</w:t>
      </w:r>
    </w:p>
    <w:p w14:paraId="185B15DC">
      <w:pPr>
        <w:spacing w:line="700" w:lineRule="exact"/>
        <w:jc w:val="center"/>
        <w:rPr>
          <w:rFonts w:hint="eastAsia" w:ascii="黑体" w:hAnsi="宋体" w:eastAsia="黑体"/>
          <w:color w:val="000000"/>
          <w:sz w:val="44"/>
        </w:rPr>
      </w:pPr>
    </w:p>
    <w:p w14:paraId="796248B9">
      <w:pPr>
        <w:spacing w:line="700" w:lineRule="exact"/>
        <w:rPr>
          <w:rFonts w:hint="eastAsia" w:ascii="黑体" w:hAnsi="宋体" w:eastAsia="宋体"/>
          <w:color w:val="000000"/>
          <w:sz w:val="44"/>
          <w:lang w:val="en-US" w:eastAsia="zh-CN"/>
        </w:rPr>
      </w:pPr>
      <w:r>
        <w:rPr>
          <w:rFonts w:hint="eastAsia" w:ascii="黑体" w:hAnsi="宋体" w:eastAsia="黑体"/>
          <w:color w:val="000000"/>
          <w:sz w:val="44"/>
        </w:rPr>
        <w:t>项目名称：</w:t>
      </w:r>
      <w:r>
        <w:rPr>
          <w:rFonts w:hint="eastAsia"/>
          <w:b/>
          <w:sz w:val="32"/>
          <w:szCs w:val="32"/>
          <w:lang w:val="en-US" w:eastAsia="zh-CN"/>
        </w:rPr>
        <w:t>妇科子宫肌瘤粉碎器及配套手术器械、</w:t>
      </w:r>
      <w:r>
        <w:rPr>
          <w:rFonts w:hint="eastAsia" w:ascii="宋体" w:hAnsi="宋体" w:eastAsia="宋体" w:cs="宋体"/>
          <w:b/>
          <w:bCs/>
          <w:kern w:val="2"/>
          <w:sz w:val="32"/>
          <w:szCs w:val="32"/>
          <w:lang w:val="en-US" w:eastAsia="zh-CN" w:bidi="ar"/>
        </w:rPr>
        <w:t>口腔科牙科综合治疗椅</w:t>
      </w:r>
      <w:r>
        <w:rPr>
          <w:rFonts w:hint="eastAsia" w:ascii="宋体" w:hAnsi="宋体" w:cs="宋体"/>
          <w:b/>
          <w:bCs/>
          <w:kern w:val="2"/>
          <w:sz w:val="32"/>
          <w:szCs w:val="32"/>
          <w:lang w:val="en-US" w:eastAsia="zh-CN" w:bidi="ar"/>
        </w:rPr>
        <w:t>、</w:t>
      </w:r>
      <w:r>
        <w:rPr>
          <w:rFonts w:hint="eastAsia"/>
          <w:b/>
          <w:sz w:val="32"/>
          <w:szCs w:val="32"/>
          <w:lang w:val="en-US" w:eastAsia="zh-CN"/>
        </w:rPr>
        <w:t>重症医学科气囊压力监测仪、心血管内科监护仪</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pPr>
      <w:r>
        <w:rPr>
          <w:rFonts w:hint="eastAsia" w:ascii="黑体" w:hAnsi="宋体" w:eastAsia="黑体"/>
          <w:color w:val="000000"/>
          <w:sz w:val="44"/>
        </w:rPr>
        <w:t>2025年</w:t>
      </w:r>
      <w:r>
        <w:rPr>
          <w:rFonts w:hint="eastAsia" w:ascii="黑体" w:hAnsi="宋体" w:eastAsia="黑体"/>
          <w:color w:val="000000"/>
          <w:sz w:val="44"/>
          <w:lang w:val="en-US" w:eastAsia="zh-CN"/>
        </w:rPr>
        <w:t>4</w:t>
      </w:r>
      <w:r>
        <w:rPr>
          <w:rFonts w:hint="eastAsia" w:ascii="黑体" w:hAnsi="宋体" w:eastAsia="黑体"/>
          <w:color w:val="000000"/>
          <w:sz w:val="44"/>
        </w:rPr>
        <w:t>月</w:t>
      </w:r>
    </w:p>
    <w:p w14:paraId="52924F52">
      <w:pPr>
        <w:spacing w:line="400" w:lineRule="exact"/>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51F9CBC3">
      <w:pPr>
        <w:spacing w:line="400" w:lineRule="exact"/>
        <w:ind w:firstLine="2530" w:firstLineChars="900"/>
        <w:rPr>
          <w:rFonts w:hint="eastAsia"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ind w:firstLine="2530" w:firstLineChars="9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pacing w:line="3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府采购法》等相关法律法规，我院拟对</w:t>
      </w:r>
      <w:r>
        <w:rPr>
          <w:rFonts w:hint="eastAsia" w:ascii="宋体" w:hAnsi="宋体" w:eastAsia="宋体" w:cs="宋体"/>
          <w:color w:val="000000"/>
          <w:sz w:val="24"/>
          <w:szCs w:val="24"/>
          <w:lang w:val="en-US" w:eastAsia="zh-CN"/>
        </w:rPr>
        <w:t>妇科子宫肌瘤粉碎器及配套手术器械、口腔科牙科综合治疗椅、重症医学科气囊压力监测仪</w:t>
      </w:r>
      <w:r>
        <w:rPr>
          <w:rFonts w:hint="eastAsia" w:ascii="宋体" w:hAnsi="宋体" w:cs="宋体"/>
          <w:color w:val="000000"/>
          <w:sz w:val="24"/>
          <w:szCs w:val="24"/>
          <w:lang w:val="en-US" w:eastAsia="zh-CN"/>
        </w:rPr>
        <w:t>、</w:t>
      </w:r>
      <w:r>
        <w:rPr>
          <w:rFonts w:hint="eastAsia" w:ascii="宋体" w:hAnsi="宋体" w:eastAsia="宋体" w:cs="宋体"/>
          <w:b w:val="0"/>
          <w:bCs w:val="0"/>
          <w:color w:val="000000"/>
          <w:sz w:val="24"/>
          <w:szCs w:val="24"/>
          <w:lang w:val="en-US" w:eastAsia="zh-CN"/>
        </w:rPr>
        <w:t>心血管内科监护仪</w:t>
      </w:r>
      <w:r>
        <w:rPr>
          <w:rFonts w:hint="eastAsia" w:ascii="宋体" w:hAnsi="宋体" w:eastAsia="宋体" w:cs="宋体"/>
          <w:color w:val="000000"/>
          <w:sz w:val="24"/>
          <w:szCs w:val="24"/>
        </w:rPr>
        <w:t>项目进行磋商采购，欢</w:t>
      </w:r>
      <w:r>
        <w:rPr>
          <w:rFonts w:hint="eastAsia" w:ascii="宋体" w:hAnsi="宋体" w:cs="宋体"/>
          <w:color w:val="000000"/>
          <w:sz w:val="24"/>
          <w:szCs w:val="24"/>
        </w:rPr>
        <w:t>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0E2D52B7">
      <w:pPr>
        <w:spacing w:line="340" w:lineRule="exact"/>
        <w:rPr>
          <w:rFonts w:hint="default" w:ascii="宋体" w:hAnsi="宋体" w:cs="宋体"/>
          <w:color w:val="000000"/>
          <w:sz w:val="24"/>
          <w:szCs w:val="24"/>
          <w:lang w:val="en-US"/>
        </w:rPr>
      </w:pPr>
      <w:r>
        <w:rPr>
          <w:rFonts w:hint="eastAsia" w:ascii="宋体" w:hAnsi="宋体" w:cs="宋体"/>
          <w:b/>
          <w:bCs/>
          <w:color w:val="000000"/>
          <w:sz w:val="24"/>
          <w:szCs w:val="24"/>
        </w:rPr>
        <w:t>1.1项目名称：</w:t>
      </w:r>
      <w:r>
        <w:rPr>
          <w:rFonts w:hint="eastAsia" w:ascii="宋体" w:hAnsi="宋体" w:eastAsia="宋体" w:cs="宋体"/>
          <w:b/>
          <w:bCs/>
          <w:color w:val="000000"/>
          <w:sz w:val="24"/>
          <w:szCs w:val="24"/>
          <w:lang w:eastAsia="zh-CN"/>
        </w:rPr>
        <w:t>包一：</w:t>
      </w:r>
      <w:r>
        <w:rPr>
          <w:rFonts w:hint="eastAsia" w:ascii="宋体" w:hAnsi="宋体" w:eastAsia="宋体" w:cs="宋体"/>
          <w:b w:val="0"/>
          <w:bCs w:val="0"/>
          <w:color w:val="000000"/>
          <w:sz w:val="24"/>
          <w:szCs w:val="24"/>
          <w:lang w:val="en-US" w:eastAsia="zh-CN"/>
        </w:rPr>
        <w:t>妇科子宫肌瘤粉碎器及配套手术器械</w:t>
      </w:r>
      <w:r>
        <w:rPr>
          <w:rFonts w:hint="eastAsia" w:ascii="宋体" w:hAnsi="宋体" w:eastAsia="宋体" w:cs="宋体"/>
          <w:b/>
          <w:bCs/>
          <w:color w:val="000000"/>
          <w:sz w:val="24"/>
          <w:szCs w:val="24"/>
          <w:lang w:val="en-US" w:eastAsia="zh-CN"/>
        </w:rPr>
        <w:t>、包二：</w:t>
      </w:r>
      <w:r>
        <w:rPr>
          <w:rFonts w:hint="eastAsia" w:ascii="宋体" w:hAnsi="宋体" w:eastAsia="宋体" w:cs="宋体"/>
          <w:b w:val="0"/>
          <w:bCs w:val="0"/>
          <w:color w:val="000000"/>
          <w:sz w:val="24"/>
          <w:szCs w:val="24"/>
          <w:lang w:val="en-US" w:eastAsia="zh-CN"/>
        </w:rPr>
        <w:t>口腔科牙科综合治疗椅</w:t>
      </w:r>
      <w:r>
        <w:rPr>
          <w:rFonts w:hint="eastAsia" w:ascii="宋体" w:hAnsi="宋体" w:eastAsia="宋体" w:cs="宋体"/>
          <w:b/>
          <w:bCs/>
          <w:color w:val="000000"/>
          <w:sz w:val="24"/>
          <w:szCs w:val="24"/>
          <w:lang w:val="en-US" w:eastAsia="zh-CN"/>
        </w:rPr>
        <w:t>、包三：</w:t>
      </w:r>
      <w:r>
        <w:rPr>
          <w:rFonts w:hint="eastAsia" w:ascii="宋体" w:hAnsi="宋体" w:eastAsia="宋体" w:cs="宋体"/>
          <w:b w:val="0"/>
          <w:bCs w:val="0"/>
          <w:color w:val="000000"/>
          <w:sz w:val="24"/>
          <w:szCs w:val="24"/>
          <w:lang w:val="en-US" w:eastAsia="zh-CN"/>
        </w:rPr>
        <w:t>重症医学科气囊压力监测仪</w:t>
      </w:r>
      <w:r>
        <w:rPr>
          <w:rFonts w:hint="eastAsia" w:ascii="宋体" w:hAnsi="宋体" w:cs="宋体"/>
          <w:b w:val="0"/>
          <w:bCs w:val="0"/>
          <w:color w:val="000000"/>
          <w:sz w:val="24"/>
          <w:szCs w:val="24"/>
          <w:lang w:val="en-US" w:eastAsia="zh-CN"/>
        </w:rPr>
        <w:t xml:space="preserve"> </w:t>
      </w:r>
      <w:r>
        <w:rPr>
          <w:rFonts w:hint="eastAsia" w:ascii="宋体" w:hAnsi="宋体" w:cs="宋体"/>
          <w:b/>
          <w:bCs/>
          <w:color w:val="000000"/>
          <w:sz w:val="24"/>
          <w:szCs w:val="24"/>
          <w:lang w:val="en-US" w:eastAsia="zh-CN"/>
        </w:rPr>
        <w:t>包四：</w:t>
      </w:r>
      <w:r>
        <w:rPr>
          <w:rFonts w:hint="eastAsia" w:ascii="宋体" w:hAnsi="宋体" w:eastAsia="宋体" w:cs="宋体"/>
          <w:b w:val="0"/>
          <w:bCs w:val="0"/>
          <w:color w:val="000000"/>
          <w:sz w:val="24"/>
          <w:szCs w:val="24"/>
          <w:lang w:val="en-US" w:eastAsia="zh-CN"/>
        </w:rPr>
        <w:t>心血管内科监护仪</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3</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9</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16</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bookmarkStart w:id="12" w:name="_GoBack"/>
      <w:bookmarkEnd w:id="12"/>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24A4AA12">
      <w:pPr>
        <w:widowControl/>
        <w:adjustRightInd w:val="0"/>
        <w:snapToGrid w:val="0"/>
        <w:spacing w:line="340" w:lineRule="exact"/>
        <w:jc w:val="left"/>
        <w:rPr>
          <w:rFonts w:hint="eastAsia" w:ascii="宋体" w:hAnsi="宋体" w:cs="宋体"/>
          <w:sz w:val="24"/>
          <w:szCs w:val="24"/>
        </w:rPr>
      </w:pPr>
      <w:r>
        <w:rPr>
          <w:rFonts w:hint="eastAsia" w:ascii="宋体" w:hAnsi="宋体" w:cs="宋体"/>
          <w:b/>
          <w:bCs/>
          <w:sz w:val="24"/>
          <w:szCs w:val="24"/>
        </w:rPr>
        <w:t>投标文件接收截止时间、开标时</w:t>
      </w:r>
      <w:r>
        <w:rPr>
          <w:rFonts w:hint="eastAsia" w:ascii="宋体" w:hAnsi="宋体" w:cs="宋体"/>
          <w:b/>
          <w:bCs/>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4</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22</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9</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0</w:t>
      </w:r>
      <w:r>
        <w:rPr>
          <w:rFonts w:hint="eastAsia" w:ascii="宋体" w:hAnsi="宋体" w:cs="宋体"/>
          <w:b/>
          <w:bCs/>
          <w:color w:val="000000"/>
          <w:sz w:val="24"/>
          <w:szCs w:val="24"/>
          <w:highlight w:val="none"/>
        </w:rPr>
        <w:t>0</w:t>
      </w:r>
      <w:r>
        <w:rPr>
          <w:rFonts w:hint="eastAsia" w:ascii="宋体" w:hAnsi="宋体" w:cs="宋体"/>
          <w:b/>
          <w:bCs/>
          <w:sz w:val="24"/>
          <w:szCs w:val="24"/>
          <w:highlight w:val="none"/>
        </w:rPr>
        <w:t>（请于</w:t>
      </w:r>
      <w:r>
        <w:rPr>
          <w:rFonts w:hint="eastAsia" w:ascii="宋体" w:hAnsi="宋体" w:cs="宋体"/>
          <w:b/>
          <w:bCs/>
          <w:sz w:val="24"/>
          <w:szCs w:val="24"/>
          <w:highlight w:val="none"/>
          <w:lang w:val="en-US" w:eastAsia="zh-CN"/>
        </w:rPr>
        <w:t>9</w:t>
      </w:r>
      <w:r>
        <w:rPr>
          <w:rFonts w:hint="eastAsia" w:ascii="宋体" w:hAnsi="宋体" w:cs="宋体"/>
          <w:b/>
          <w:bCs/>
          <w:sz w:val="24"/>
          <w:szCs w:val="24"/>
        </w:rPr>
        <w:t>:</w:t>
      </w:r>
      <w:r>
        <w:rPr>
          <w:rFonts w:hint="eastAsia" w:ascii="宋体" w:hAnsi="宋体" w:cs="宋体"/>
          <w:b/>
          <w:bCs/>
          <w:sz w:val="24"/>
          <w:szCs w:val="24"/>
          <w:lang w:val="en-US" w:eastAsia="zh-CN"/>
        </w:rPr>
        <w:t>0</w:t>
      </w:r>
      <w:r>
        <w:rPr>
          <w:rFonts w:hint="eastAsia" w:ascii="宋体" w:hAnsi="宋体" w:cs="宋体"/>
          <w:b/>
          <w:bCs/>
          <w:sz w:val="24"/>
          <w:szCs w:val="24"/>
        </w:rPr>
        <w:t>0前到场签到，过时取消资格）</w:t>
      </w:r>
      <w:r>
        <w:rPr>
          <w:rFonts w:hint="eastAsia" w:ascii="宋体" w:hAnsi="宋体" w:cs="宋体"/>
          <w:sz w:val="24"/>
          <w:szCs w:val="24"/>
        </w:rPr>
        <w:t xml:space="preserve"> </w:t>
      </w:r>
    </w:p>
    <w:p w14:paraId="5C1D2B9C">
      <w:pPr>
        <w:snapToGrid w:val="0"/>
        <w:spacing w:line="340" w:lineRule="exact"/>
        <w:ind w:firstLine="241" w:firstLineChars="100"/>
        <w:rPr>
          <w:rFonts w:hint="eastAsia" w:ascii="宋体" w:hAnsi="宋体" w:cs="宋体"/>
          <w:b/>
          <w:i/>
          <w:sz w:val="24"/>
          <w:szCs w:val="24"/>
          <w:u w:val="single"/>
        </w:rPr>
      </w:pP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000000"/>
          <w:sz w:val="24"/>
          <w:szCs w:val="24"/>
        </w:rPr>
      </w:pPr>
      <w:r>
        <w:rPr>
          <w:rFonts w:hint="eastAsia" w:ascii="宋体" w:hAnsi="宋体" w:cs="宋体"/>
          <w:b/>
          <w:bCs/>
          <w:color w:val="000000"/>
          <w:sz w:val="28"/>
          <w:szCs w:val="28"/>
          <w:lang w:val="zh-CN"/>
        </w:rPr>
        <w:t>第三部分 采购需求</w:t>
      </w:r>
    </w:p>
    <w:p w14:paraId="67DF4EFA">
      <w:pPr>
        <w:widowControl/>
        <w:jc w:val="center"/>
        <w:rPr>
          <w:rFonts w:hint="default" w:eastAsia="宋体"/>
          <w:b/>
          <w:sz w:val="32"/>
          <w:szCs w:val="32"/>
          <w:lang w:val="en-US" w:eastAsia="zh-CN"/>
        </w:rPr>
      </w:pPr>
      <w:r>
        <w:rPr>
          <w:rFonts w:hint="eastAsia" w:ascii="宋体" w:hAnsi="宋体" w:cs="宋体"/>
          <w:b/>
          <w:bCs/>
          <w:sz w:val="32"/>
          <w:szCs w:val="32"/>
          <w:lang w:bidi="ar"/>
        </w:rPr>
        <w:t>包一：</w:t>
      </w:r>
      <w:bookmarkStart w:id="0" w:name="_Toc49090575"/>
      <w:bookmarkStart w:id="1" w:name="_Toc5953"/>
      <w:bookmarkStart w:id="2" w:name="_Toc26554093"/>
      <w:r>
        <w:rPr>
          <w:rFonts w:hint="eastAsia"/>
          <w:b/>
          <w:sz w:val="32"/>
          <w:szCs w:val="32"/>
          <w:lang w:val="en-US" w:eastAsia="zh-CN"/>
        </w:rPr>
        <w:t>妇科子宫肌瘤粉碎器及配套手术器械1批，</w:t>
      </w:r>
      <w:r>
        <w:rPr>
          <w:rFonts w:hint="eastAsia" w:eastAsia="宋体"/>
          <w:b/>
          <w:sz w:val="32"/>
          <w:szCs w:val="32"/>
          <w:lang w:val="en-US" w:eastAsia="zh-CN"/>
        </w:rPr>
        <w:t>预算2.5万元</w:t>
      </w:r>
    </w:p>
    <w:p w14:paraId="1FE13041">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2EC920E8">
      <w:pPr>
        <w:pStyle w:val="4"/>
        <w:keepNext w:val="0"/>
        <w:keepLines w:val="0"/>
        <w:pageBreakBefore w:val="0"/>
        <w:widowControl w:val="0"/>
        <w:kinsoku/>
        <w:wordWrap/>
        <w:overflowPunct/>
        <w:topLinePunct w:val="0"/>
        <w:bidi w:val="0"/>
        <w:snapToGrid/>
        <w:spacing w:line="240" w:lineRule="auto"/>
        <w:ind w:left="0" w:leftChars="0"/>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子宫肌瘤粉碎器及配套手术器械</w:t>
      </w:r>
    </w:p>
    <w:p w14:paraId="6089A986">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一、主要技术参数和要求</w:t>
      </w:r>
    </w:p>
    <w:p w14:paraId="432BC2D2">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1.穿刺套管与扩张器应配合良好，松紧适度，手持马达与碎宫器应配合良好，松紧适度；</w:t>
      </w:r>
    </w:p>
    <w:p w14:paraId="6A68A7E0">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▲2.设备运行方式：连续运行；（需提供证明材料）</w:t>
      </w:r>
    </w:p>
    <w:p w14:paraId="73FB41FF">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3.控制器</w:t>
      </w:r>
    </w:p>
    <w:p w14:paraId="2752B4E0">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▲3.1控制器可调节手持马达转动，方式为无级变速，由数码显示转速高低；（需提供证明材料）</w:t>
      </w:r>
    </w:p>
    <w:p w14:paraId="5A8B78B5">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3.2控制器外壳表面应平整、光洁、无污损、伤痕及斑蚀等缺陷；</w:t>
      </w:r>
    </w:p>
    <w:p w14:paraId="029C4E85">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4.手持马达</w:t>
      </w:r>
    </w:p>
    <w:p w14:paraId="1A0A49AA">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4.1手持马达正常工作时，温升不超过25℃；</w:t>
      </w:r>
    </w:p>
    <w:p w14:paraId="25F60188">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4.2手持马达的最大输出转矩应不小于15N·cm, 其转速下降不大于20%, 径向跳动量不大于1.5mm；</w:t>
      </w:r>
    </w:p>
    <w:p w14:paraId="4B5505F1">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4.3手持马达对碎宫器的夹持力应不小于20N；</w:t>
      </w:r>
    </w:p>
    <w:p w14:paraId="3F6D35E2">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4.4手持马达与碎宫器应装卸方便，锁止可靠，无卡滞或打滑现象；</w:t>
      </w:r>
    </w:p>
    <w:p w14:paraId="16FC0725">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4.5手持马达工作时的噪音应不大于68dB；</w:t>
      </w:r>
    </w:p>
    <w:p w14:paraId="522719A4">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4.6手持马达外表面应平整、光洁、无污损，开关通断应灵活；</w:t>
      </w:r>
    </w:p>
    <w:p w14:paraId="62D3F44E">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▲4.7手持马达转速应为95～220r/min；（需提供证明材料）</w:t>
      </w:r>
    </w:p>
    <w:p w14:paraId="030A2BA9">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5.碎宫器刀头、肌瘤钻的钻头，刀口应锋利、能顺利切割或剌入组织；</w:t>
      </w:r>
    </w:p>
    <w:p w14:paraId="000C16F1">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6.子宫肌瘤粉碎器及配套手术器械表面应光滑，圆整、平直，不得有锋棱、毛刺、裂纹等缺陷；</w:t>
      </w:r>
    </w:p>
    <w:p w14:paraId="3501808B">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7.子宫肌瘤粉碎器及配套手术器械各连接部位应牢固可靠，焊接处应平整光滑、无虚焊或堆焊现象；</w:t>
      </w:r>
    </w:p>
    <w:p w14:paraId="420A777B">
      <w:pPr>
        <w:pStyle w:val="4"/>
        <w:keepNext w:val="0"/>
        <w:keepLines w:val="0"/>
        <w:pageBreakBefore w:val="0"/>
        <w:widowControl w:val="0"/>
        <w:kinsoku/>
        <w:wordWrap/>
        <w:overflowPunct/>
        <w:topLinePunct w:val="0"/>
        <w:autoSpaceDE/>
        <w:autoSpaceDN/>
        <w:bidi w:val="0"/>
        <w:adjustRightInd/>
        <w:snapToGrid/>
        <w:spacing w:line="21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8.举宫器的弹簧机构应灵活可靠、伸缩自如、不得有卡滞现象；</w:t>
      </w:r>
    </w:p>
    <w:p w14:paraId="3EBA6AF8">
      <w:pPr>
        <w:pStyle w:val="4"/>
        <w:keepNext w:val="0"/>
        <w:keepLines w:val="0"/>
        <w:pageBreakBefore w:val="0"/>
        <w:widowControl w:val="0"/>
        <w:kinsoku/>
        <w:wordWrap/>
        <w:overflowPunct/>
        <w:topLinePunct w:val="0"/>
        <w:autoSpaceDE/>
        <w:autoSpaceDN/>
        <w:bidi w:val="0"/>
        <w:adjustRightInd/>
        <w:snapToGrid/>
        <w:spacing w:line="265"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9.手术器械应具有良好的耐腐蚀性能，在常规条件下经药物消毒，不得产生腐蚀现象；</w:t>
      </w:r>
    </w:p>
    <w:p w14:paraId="793C8620">
      <w:pPr>
        <w:pStyle w:val="4"/>
        <w:keepNext w:val="0"/>
        <w:keepLines w:val="0"/>
        <w:pageBreakBefore w:val="0"/>
        <w:widowControl w:val="0"/>
        <w:kinsoku/>
        <w:wordWrap/>
        <w:overflowPunct/>
        <w:topLinePunct w:val="0"/>
        <w:autoSpaceDE/>
        <w:autoSpaceDN/>
        <w:bidi w:val="0"/>
        <w:adjustRightInd/>
        <w:snapToGrid/>
        <w:spacing w:line="248" w:lineRule="auto"/>
        <w:ind w:left="0" w:right="0"/>
        <w:jc w:val="both"/>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10.碎宫器刀头、子宫抓钳的钳头应经热处理，其硬度值应≥411HV0.2。</w:t>
      </w:r>
    </w:p>
    <w:p w14:paraId="6C587235">
      <w:pPr>
        <w:keepNext w:val="0"/>
        <w:keepLines w:val="0"/>
        <w:pageBreakBefore w:val="0"/>
        <w:widowControl w:val="0"/>
        <w:numPr>
          <w:ilvl w:val="0"/>
          <w:numId w:val="0"/>
        </w:numPr>
        <w:kinsoku/>
        <w:wordWrap/>
        <w:overflowPunct/>
        <w:topLinePunct w:val="0"/>
        <w:autoSpaceDE/>
        <w:autoSpaceDN/>
        <w:bidi w:val="0"/>
        <w:adjustRightInd/>
        <w:snapToGrid/>
        <w:ind w:left="0" w:right="0"/>
        <w:jc w:val="left"/>
        <w:textAlignment w:val="auto"/>
        <w:rPr>
          <w:rFonts w:hint="eastAsia" w:asciiTheme="minorHAnsi" w:hAnsiTheme="minorHAnsi" w:eastAsiaTheme="minorEastAsia" w:cstheme="minorBidi"/>
          <w:kern w:val="2"/>
          <w:sz w:val="21"/>
          <w:szCs w:val="24"/>
          <w:lang w:val="en-US" w:eastAsia="zh-CN" w:bidi="ar-SA"/>
        </w:rPr>
      </w:pPr>
    </w:p>
    <w:p w14:paraId="1267DF88">
      <w:pPr>
        <w:pStyle w:val="4"/>
        <w:keepNext w:val="0"/>
        <w:keepLines w:val="0"/>
        <w:pageBreakBefore w:val="0"/>
        <w:widowControl w:val="0"/>
        <w:kinsoku/>
        <w:wordWrap/>
        <w:overflowPunct/>
        <w:topLinePunct w:val="0"/>
        <w:bidi w:val="0"/>
        <w:snapToGrid/>
        <w:spacing w:line="240" w:lineRule="auto"/>
        <w:ind w:left="0" w:leftChars="0"/>
        <w:textAlignment w:val="auto"/>
        <w:rPr>
          <w:rFonts w:hint="eastAsia"/>
          <w:lang w:val="en-US" w:eastAsia="zh-CN"/>
        </w:rPr>
      </w:pPr>
      <w:r>
        <w:rPr>
          <w:rFonts w:hint="eastAsia" w:ascii="宋体" w:hAnsi="宋体" w:eastAsia="宋体" w:cs="宋体"/>
          <w:kern w:val="2"/>
          <w:sz w:val="21"/>
          <w:szCs w:val="21"/>
          <w:lang w:val="en-US" w:eastAsia="zh-CN" w:bidi="ar-SA"/>
        </w:rPr>
        <w:t>二、配置清单</w:t>
      </w:r>
    </w:p>
    <w:p w14:paraId="66667897">
      <w:pPr>
        <w:rPr>
          <w:rFonts w:hint="eastAsia" w:ascii="宋体" w:hAnsi="宋体" w:eastAsia="宋体" w:cs="宋体"/>
          <w:lang w:val="en-US" w:eastAsia="zh-CN"/>
        </w:rPr>
      </w:pPr>
      <w:r>
        <w:rPr>
          <w:rFonts w:hint="eastAsia" w:ascii="宋体" w:hAnsi="宋体" w:eastAsia="宋体" w:cs="宋体"/>
          <w:lang w:val="en-US" w:eastAsia="zh-CN"/>
        </w:rPr>
        <w:t>1.控制器1个</w:t>
      </w:r>
    </w:p>
    <w:p w14:paraId="5803AF04">
      <w:pPr>
        <w:rPr>
          <w:rFonts w:hint="eastAsia" w:ascii="宋体" w:hAnsi="宋体" w:eastAsia="宋体" w:cs="宋体"/>
          <w:lang w:val="en-US" w:eastAsia="zh-CN"/>
        </w:rPr>
      </w:pPr>
      <w:r>
        <w:rPr>
          <w:rFonts w:hint="eastAsia" w:ascii="宋体" w:hAnsi="宋体" w:eastAsia="宋体" w:cs="宋体"/>
          <w:lang w:val="en-US" w:eastAsia="zh-CN"/>
        </w:rPr>
        <w:t>2.马达1个</w:t>
      </w:r>
    </w:p>
    <w:p w14:paraId="5F4D9E33">
      <w:pPr>
        <w:rPr>
          <w:rFonts w:hint="eastAsia" w:ascii="宋体" w:hAnsi="宋体" w:eastAsia="宋体" w:cs="宋体"/>
          <w:lang w:val="en-US" w:eastAsia="zh-CN"/>
        </w:rPr>
      </w:pPr>
      <w:r>
        <w:rPr>
          <w:rFonts w:hint="eastAsia" w:ascii="宋体" w:hAnsi="宋体" w:eastAsia="宋体" w:cs="宋体"/>
          <w:lang w:val="en-US" w:eastAsia="zh-CN"/>
        </w:rPr>
        <w:t>3.碎宫器 4个</w:t>
      </w:r>
    </w:p>
    <w:p w14:paraId="3ED6523D">
      <w:pPr>
        <w:rPr>
          <w:rFonts w:hint="eastAsia" w:ascii="宋体" w:hAnsi="宋体" w:eastAsia="宋体" w:cs="宋体"/>
          <w:lang w:val="en-US" w:eastAsia="zh-CN"/>
        </w:rPr>
      </w:pPr>
      <w:r>
        <w:rPr>
          <w:rFonts w:hint="eastAsia" w:ascii="宋体" w:hAnsi="宋体" w:eastAsia="宋体" w:cs="宋体"/>
          <w:lang w:val="en-US" w:eastAsia="zh-CN"/>
        </w:rPr>
        <w:t>4.子宫固定器1个</w:t>
      </w:r>
    </w:p>
    <w:p w14:paraId="0C576F94">
      <w:pPr>
        <w:rPr>
          <w:rFonts w:hint="eastAsia" w:ascii="宋体" w:hAnsi="宋体" w:eastAsia="宋体" w:cs="宋体"/>
          <w:lang w:val="en-US" w:eastAsia="zh-CN"/>
        </w:rPr>
      </w:pPr>
      <w:r>
        <w:rPr>
          <w:rFonts w:hint="eastAsia" w:ascii="宋体" w:hAnsi="宋体" w:eastAsia="宋体" w:cs="宋体"/>
          <w:lang w:val="en-US" w:eastAsia="zh-CN"/>
        </w:rPr>
        <w:t>5.子宫拨棒1个</w:t>
      </w:r>
    </w:p>
    <w:p w14:paraId="56804C5B">
      <w:pPr>
        <w:rPr>
          <w:rFonts w:hint="eastAsia" w:ascii="宋体" w:hAnsi="宋体" w:eastAsia="宋体" w:cs="宋体"/>
          <w:lang w:val="en-US" w:eastAsia="zh-CN"/>
        </w:rPr>
      </w:pPr>
      <w:r>
        <w:rPr>
          <w:rFonts w:hint="eastAsia" w:ascii="宋体" w:hAnsi="宋体" w:eastAsia="宋体" w:cs="宋体"/>
          <w:lang w:val="en-US" w:eastAsia="zh-CN"/>
        </w:rPr>
        <w:t>6. 肌瘤钻3个</w:t>
      </w:r>
    </w:p>
    <w:p w14:paraId="7A3E05D7">
      <w:pPr>
        <w:rPr>
          <w:rFonts w:hint="eastAsia" w:ascii="宋体" w:hAnsi="宋体" w:eastAsia="宋体" w:cs="宋体"/>
          <w:lang w:val="en-US" w:eastAsia="zh-CN"/>
        </w:rPr>
      </w:pPr>
      <w:r>
        <w:rPr>
          <w:rFonts w:hint="eastAsia" w:ascii="宋体" w:hAnsi="宋体" w:eastAsia="宋体" w:cs="宋体"/>
          <w:lang w:val="en-US" w:eastAsia="zh-CN"/>
        </w:rPr>
        <w:t>7.子宫抓钳3个</w:t>
      </w:r>
    </w:p>
    <w:p w14:paraId="409C51DC">
      <w:pPr>
        <w:rPr>
          <w:rFonts w:hint="eastAsia" w:ascii="宋体" w:hAnsi="宋体" w:eastAsia="宋体" w:cs="宋体"/>
          <w:lang w:val="en-US" w:eastAsia="zh-CN"/>
        </w:rPr>
      </w:pPr>
      <w:r>
        <w:rPr>
          <w:rFonts w:hint="eastAsia" w:ascii="宋体" w:hAnsi="宋体" w:eastAsia="宋体" w:cs="宋体"/>
          <w:lang w:val="en-US" w:eastAsia="zh-CN"/>
        </w:rPr>
        <w:t>8.宫颈钳2个</w:t>
      </w:r>
    </w:p>
    <w:p w14:paraId="46175309">
      <w:pPr>
        <w:rPr>
          <w:rFonts w:hint="eastAsia" w:ascii="宋体" w:hAnsi="宋体" w:eastAsia="宋体" w:cs="宋体"/>
          <w:lang w:val="en-US" w:eastAsia="zh-CN"/>
        </w:rPr>
      </w:pPr>
      <w:r>
        <w:rPr>
          <w:rFonts w:hint="eastAsia" w:ascii="宋体" w:hAnsi="宋体" w:eastAsia="宋体" w:cs="宋体"/>
          <w:lang w:val="en-US" w:eastAsia="zh-CN"/>
        </w:rPr>
        <w:t>9.扩张器2个</w:t>
      </w:r>
    </w:p>
    <w:p w14:paraId="5212D386">
      <w:pPr>
        <w:rPr>
          <w:rFonts w:hint="eastAsia" w:ascii="宋体" w:hAnsi="宋体" w:eastAsia="宋体" w:cs="宋体"/>
          <w:lang w:val="en-US" w:eastAsia="zh-CN"/>
        </w:rPr>
      </w:pPr>
      <w:r>
        <w:rPr>
          <w:rFonts w:hint="eastAsia" w:ascii="宋体" w:hAnsi="宋体" w:eastAsia="宋体" w:cs="宋体"/>
          <w:lang w:val="en-US" w:eastAsia="zh-CN"/>
        </w:rPr>
        <w:t>10.转换器2个</w:t>
      </w:r>
    </w:p>
    <w:p w14:paraId="4B844338">
      <w:pPr>
        <w:rPr>
          <w:rFonts w:hint="eastAsia" w:ascii="宋体" w:hAnsi="宋体" w:eastAsia="宋体" w:cs="宋体"/>
          <w:lang w:val="en-US" w:eastAsia="zh-CN"/>
        </w:rPr>
      </w:pPr>
      <w:r>
        <w:rPr>
          <w:rFonts w:hint="eastAsia" w:ascii="宋体" w:hAnsi="宋体" w:eastAsia="宋体" w:cs="宋体"/>
          <w:lang w:val="en-US" w:eastAsia="zh-CN"/>
        </w:rPr>
        <w:t>11.穿刺套管2个</w:t>
      </w:r>
    </w:p>
    <w:p w14:paraId="26061220">
      <w:pPr>
        <w:rPr>
          <w:rFonts w:hint="eastAsia" w:ascii="宋体" w:hAnsi="宋体" w:eastAsia="宋体" w:cs="宋体"/>
          <w:lang w:val="en-US" w:eastAsia="zh-CN"/>
        </w:rPr>
      </w:pPr>
      <w:r>
        <w:rPr>
          <w:rFonts w:hint="eastAsia" w:ascii="宋体" w:hAnsi="宋体" w:eastAsia="宋体" w:cs="宋体"/>
          <w:lang w:val="en-US" w:eastAsia="zh-CN"/>
        </w:rPr>
        <w:t>12.推结棒 1个</w:t>
      </w:r>
    </w:p>
    <w:p w14:paraId="4CDF5157">
      <w:pPr>
        <w:rPr>
          <w:rFonts w:hint="eastAsia" w:ascii="宋体" w:hAnsi="宋体" w:eastAsia="宋体" w:cs="宋体"/>
          <w:lang w:val="en-US" w:eastAsia="zh-CN"/>
        </w:rPr>
      </w:pPr>
      <w:r>
        <w:rPr>
          <w:rFonts w:hint="eastAsia" w:ascii="宋体" w:hAnsi="宋体" w:eastAsia="宋体" w:cs="宋体"/>
          <w:lang w:val="en-US" w:eastAsia="zh-CN"/>
        </w:rPr>
        <w:t>13.举宫器1个</w:t>
      </w:r>
    </w:p>
    <w:p w14:paraId="7DEF1539">
      <w:pPr>
        <w:rPr>
          <w:rFonts w:hint="eastAsia" w:ascii="宋体" w:hAnsi="宋体" w:eastAsia="宋体" w:cs="宋体"/>
          <w:lang w:val="en-US" w:eastAsia="zh-CN"/>
        </w:rPr>
      </w:pPr>
      <w:r>
        <w:rPr>
          <w:rFonts w:hint="eastAsia" w:ascii="宋体" w:hAnsi="宋体" w:eastAsia="宋体" w:cs="宋体"/>
          <w:lang w:val="en-US" w:eastAsia="zh-CN"/>
        </w:rPr>
        <w:t>14.引导杆1个</w:t>
      </w:r>
    </w:p>
    <w:p w14:paraId="4ACB08B7">
      <w:pPr>
        <w:rPr>
          <w:rFonts w:hint="default" w:ascii="宋体" w:hAnsi="宋体" w:eastAsia="宋体" w:cs="宋体"/>
          <w:sz w:val="24"/>
          <w:szCs w:val="24"/>
          <w:lang w:val="en-US" w:eastAsia="zh-CN"/>
        </w:rPr>
      </w:pPr>
      <w:r>
        <w:rPr>
          <w:rFonts w:ascii="宋体" w:hAnsi="宋体" w:eastAsia="宋体" w:cs="宋体"/>
          <w:sz w:val="24"/>
          <w:szCs w:val="24"/>
        </w:rPr>
        <w:br w:type="textWrapping"/>
      </w:r>
    </w:p>
    <w:p w14:paraId="35A35203">
      <w:pPr>
        <w:rPr>
          <w:rFonts w:hint="default"/>
          <w:lang w:val="en-US" w:eastAsia="zh-CN"/>
        </w:rPr>
      </w:pPr>
    </w:p>
    <w:p w14:paraId="40C030E3">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418"/>
        <w:gridCol w:w="6411"/>
      </w:tblGrid>
      <w:tr w14:paraId="757A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73355F1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0D34CF6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253AE35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4091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4A90AD3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3AD73E51">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02C6C352">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0E3A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4E59053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4B7F27DD">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58418E82">
            <w:pPr>
              <w:keepNext w:val="0"/>
              <w:keepLines w:val="0"/>
              <w:widowControl/>
              <w:suppressLineNumbers w:val="0"/>
              <w:spacing w:before="0" w:beforeAutospacing="0" w:after="0" w:afterAutospacing="0" w:line="360" w:lineRule="auto"/>
              <w:ind w:left="0" w:right="0"/>
              <w:jc w:val="left"/>
              <w:rPr>
                <w:rFonts w:hint="default" w:hAnsi="宋体" w:eastAsia="宋体" w:cs="宋体"/>
                <w:b w:val="0"/>
                <w:bCs/>
                <w:snapToGrid w:val="0"/>
                <w:color w:val="000000"/>
                <w:szCs w:val="24"/>
                <w:highlight w:val="none"/>
                <w:lang w:val="en-US" w:eastAsia="zh-CN"/>
              </w:rPr>
            </w:pPr>
            <w:r>
              <w:rPr>
                <w:rFonts w:hint="eastAsia" w:hAnsi="宋体" w:eastAsia="宋体" w:cs="宋体"/>
                <w:b w:val="0"/>
                <w:bCs/>
                <w:szCs w:val="24"/>
                <w:lang w:val="en-US" w:eastAsia="zh-CN"/>
              </w:rPr>
              <w:t>主机</w:t>
            </w:r>
            <w:r>
              <w:rPr>
                <w:rFonts w:hint="eastAsia" w:hAnsi="宋体" w:eastAsia="宋体" w:cs="宋体"/>
                <w:b w:val="0"/>
                <w:bCs/>
                <w:szCs w:val="24"/>
              </w:rPr>
              <w:t>原厂免费质保≥三年</w:t>
            </w:r>
            <w:r>
              <w:rPr>
                <w:rFonts w:hint="eastAsia" w:hAnsi="宋体" w:eastAsia="宋体" w:cs="宋体"/>
                <w:b w:val="0"/>
                <w:bCs/>
                <w:szCs w:val="24"/>
                <w:lang w:eastAsia="zh-CN"/>
              </w:rPr>
              <w:t>、</w:t>
            </w:r>
            <w:r>
              <w:rPr>
                <w:rFonts w:hint="eastAsia" w:hAnsi="宋体" w:eastAsia="宋体" w:cs="宋体"/>
                <w:b w:val="0"/>
                <w:bCs/>
                <w:szCs w:val="24"/>
                <w:lang w:val="en-US" w:eastAsia="zh-CN"/>
              </w:rPr>
              <w:t>器械</w:t>
            </w:r>
            <w:r>
              <w:rPr>
                <w:rFonts w:hint="eastAsia" w:hAnsi="宋体" w:eastAsia="宋体" w:cs="宋体"/>
                <w:b w:val="0"/>
                <w:bCs/>
                <w:szCs w:val="24"/>
              </w:rPr>
              <w:t>原厂免费质保≥</w:t>
            </w:r>
            <w:r>
              <w:rPr>
                <w:rFonts w:hint="eastAsia" w:hAnsi="宋体" w:eastAsia="宋体" w:cs="宋体"/>
                <w:b w:val="0"/>
                <w:bCs/>
                <w:szCs w:val="24"/>
                <w:lang w:val="en-US" w:eastAsia="zh-CN"/>
              </w:rPr>
              <w:t>一</w:t>
            </w:r>
            <w:r>
              <w:rPr>
                <w:rFonts w:hint="eastAsia" w:hAnsi="宋体" w:eastAsia="宋体" w:cs="宋体"/>
                <w:b w:val="0"/>
                <w:bCs/>
                <w:szCs w:val="24"/>
              </w:rPr>
              <w:t>年</w:t>
            </w:r>
          </w:p>
        </w:tc>
      </w:tr>
      <w:tr w14:paraId="472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7145EA1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60852B45">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3DBFE724">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55B287C1">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203A4EBF">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0A2501B7">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4FC3ECB6">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2A4403C">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7CC78259">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7F75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AF04C2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2ACA32DD">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78040ABA">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55EA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D9FA00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572768A9">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5121FB50">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77629D4A">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630407F4">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464FD870">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7D23528C">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3C84537D">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36AD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548B79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789B82BD">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5DB8DD87">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6D2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460EDD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53363132">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6FFF57A9">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4C58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13CC1C2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16D4A19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5410E14D">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19A464AF">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62097C5C">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p>
    <w:p w14:paraId="63E00DC5">
      <w:pPr>
        <w:keepNext w:val="0"/>
        <w:keepLines w:val="0"/>
        <w:widowControl w:val="0"/>
        <w:suppressLineNumbers w:val="0"/>
        <w:spacing w:before="0" w:beforeAutospacing="0" w:after="0" w:afterAutospacing="0"/>
        <w:ind w:left="0" w:right="0"/>
        <w:jc w:val="center"/>
        <w:rPr>
          <w:rFonts w:hint="eastAsia" w:ascii="宋体" w:hAnsi="宋体" w:eastAsia="宋体" w:cs="宋体"/>
          <w:sz w:val="32"/>
          <w:szCs w:val="32"/>
          <w:lang w:val="en-US"/>
        </w:rPr>
      </w:pPr>
      <w:r>
        <w:rPr>
          <w:rFonts w:hint="eastAsia" w:ascii="宋体" w:hAnsi="宋体" w:eastAsia="宋体" w:cs="宋体"/>
          <w:b/>
          <w:bCs/>
          <w:sz w:val="32"/>
          <w:szCs w:val="32"/>
          <w:lang w:eastAsia="zh-CN" w:bidi="ar"/>
        </w:rPr>
        <w:t>包二：</w:t>
      </w:r>
      <w:r>
        <w:rPr>
          <w:rFonts w:hint="eastAsia" w:ascii="宋体" w:hAnsi="宋体" w:eastAsia="宋体" w:cs="宋体"/>
          <w:b/>
          <w:bCs/>
          <w:kern w:val="2"/>
          <w:sz w:val="32"/>
          <w:szCs w:val="32"/>
          <w:lang w:val="en-US" w:eastAsia="zh-CN" w:bidi="ar"/>
        </w:rPr>
        <w:t>口腔科牙科综合治疗椅1台，预算4.5万元</w:t>
      </w:r>
    </w:p>
    <w:p w14:paraId="0489CE15">
      <w:pPr>
        <w:keepNext w:val="0"/>
        <w:keepLines w:val="0"/>
        <w:widowControl w:val="0"/>
        <w:suppressLineNumbers w:val="0"/>
        <w:spacing w:before="0" w:beforeAutospacing="0" w:after="0" w:afterAutospacing="0"/>
        <w:ind w:left="0" w:right="0"/>
        <w:jc w:val="left"/>
        <w:rPr>
          <w:szCs w:val="21"/>
          <w:lang w:val="en-US"/>
        </w:rPr>
      </w:pP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14:paraId="579DDC11">
      <w:pPr>
        <w:keepNext w:val="0"/>
        <w:keepLines w:val="0"/>
        <w:widowControl w:val="0"/>
        <w:numPr>
          <w:ilvl w:val="0"/>
          <w:numId w:val="2"/>
        </w:numPr>
        <w:suppressLineNumbers w:val="0"/>
        <w:spacing w:before="0" w:beforeAutospacing="0" w:after="0" w:afterAutospacing="0"/>
        <w:ind w:left="0" w:right="0" w:firstLine="0"/>
        <w:jc w:val="left"/>
        <w:rPr>
          <w:szCs w:val="21"/>
          <w:lang w:val="en-US"/>
        </w:rPr>
      </w:pPr>
      <w:r>
        <w:rPr>
          <w:rFonts w:hint="eastAsia" w:ascii="Times New Roman" w:hAnsi="Times New Roman" w:eastAsia="宋体" w:cs="宋体"/>
          <w:kern w:val="2"/>
          <w:sz w:val="21"/>
          <w:szCs w:val="21"/>
          <w:lang w:val="en-US" w:eastAsia="zh-CN" w:bidi="ar"/>
        </w:rPr>
        <w:t>技术要求</w:t>
      </w:r>
    </w:p>
    <w:p w14:paraId="398CED2B">
      <w:pPr>
        <w:keepNext w:val="0"/>
        <w:keepLines w:val="0"/>
        <w:widowControl w:val="0"/>
        <w:suppressLineNumbers w:val="0"/>
        <w:spacing w:before="0" w:beforeAutospacing="0" w:after="0" w:afterAutospacing="0"/>
        <w:ind w:left="0" w:right="0"/>
        <w:jc w:val="left"/>
        <w:rPr>
          <w:szCs w:val="21"/>
          <w:lang w:val="en-US"/>
        </w:rPr>
      </w:pPr>
      <w:r>
        <w:rPr>
          <w:rFonts w:hint="eastAsia" w:ascii="Times New Roman" w:hAnsi="Times New Roman" w:eastAsia="宋体" w:cs="宋体"/>
          <w:kern w:val="2"/>
          <w:sz w:val="21"/>
          <w:szCs w:val="21"/>
          <w:lang w:val="en-US" w:eastAsia="zh-CN" w:bidi="ar"/>
        </w:rPr>
        <w:t>（一）主要技术参数和要求；</w:t>
      </w:r>
    </w:p>
    <w:p w14:paraId="6F8A7419">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1.工作条件：环境温度5°-40°；相对湿度≤80%；供气压力范围 0.55-0.80Mpa, 流量≥55L/min；水源水压范围 0.2-0.4Mpa, 流量≥10L/min；</w:t>
      </w:r>
    </w:p>
    <w:p w14:paraId="5BBBDE3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bookmarkStart w:id="3" w:name="_Hlk118461783"/>
      <w:r>
        <w:rPr>
          <w:rFonts w:hint="eastAsia" w:ascii="宋体" w:hAnsi="宋体" w:eastAsia="宋体" w:cs="宋体"/>
          <w:color w:val="000000"/>
          <w:kern w:val="2"/>
          <w:sz w:val="21"/>
          <w:szCs w:val="21"/>
          <w:lang w:val="en-US" w:eastAsia="zh-CN" w:bidi="ar"/>
        </w:rPr>
        <w:t>2.LED口腔灯和专业手术抽吸集成与牙椅一体式设计，节约诊室活动空间；</w:t>
      </w:r>
    </w:p>
    <w:p w14:paraId="2A6D117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3.牙科椅</w:t>
      </w:r>
    </w:p>
    <w:p w14:paraId="39179E05">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▲3.1整体采用金属材质骨架和底座，座椅承重范围≥160KG；座椅升降范围 ，最高≥780mm，最低≤360mm；（需提供证明材料）</w:t>
      </w:r>
    </w:p>
    <w:p w14:paraId="24D200A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3.2靠背主体采用冷轧钢板和静电喷涂工艺；坐垫和靠背背板为ABS工程塑料的材质，防潮防霉。免工具挂扣式安装方式，方便拆卸清洁；</w:t>
      </w:r>
    </w:p>
    <w:p w14:paraId="590CDFD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▲3.3牙椅皮革采用接触面无缝工艺缝制，便于感控，皮革表面具备防霉抗菌涂层；（需提供证明材料）</w:t>
      </w:r>
    </w:p>
    <w:p w14:paraId="0F726F0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3.4弯板采用精密铝合金铸造工艺；</w:t>
      </w:r>
    </w:p>
    <w:p w14:paraId="7BA4B2C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3.5头枕长度可在0-150mm间调节，头枕旋钮不阻碍医生腿部动作；</w:t>
      </w:r>
    </w:p>
    <w:p w14:paraId="27F3FC3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3.6座椅扶手为前翻式设计，扶手连接处位于椅身中部，不阻碍医生腿部动作，</w:t>
      </w:r>
      <w:r>
        <w:rPr>
          <w:rFonts w:hint="eastAsia" w:ascii="宋体" w:hAnsi="宋体" w:eastAsia="宋体" w:cs="宋体"/>
          <w:kern w:val="2"/>
          <w:sz w:val="21"/>
          <w:szCs w:val="21"/>
          <w:lang w:val="en-US" w:eastAsia="zh-CN" w:bidi="ar"/>
        </w:rPr>
        <w:t>医生侧的扶手可</w:t>
      </w:r>
      <w:r>
        <w:rPr>
          <w:rFonts w:hint="eastAsia" w:ascii="宋体" w:hAnsi="宋体" w:eastAsia="宋体" w:cs="宋体"/>
          <w:color w:val="000000"/>
          <w:kern w:val="2"/>
          <w:sz w:val="21"/>
          <w:szCs w:val="21"/>
          <w:lang w:val="en-US" w:eastAsia="zh-CN" w:bidi="ar"/>
        </w:rPr>
        <w:t>向前翻转≥150°，便于患者上下牙椅；</w:t>
      </w:r>
    </w:p>
    <w:p w14:paraId="3633098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3.7防误触急停开关，平头内槽式设计，具有急停保护装置；</w:t>
      </w:r>
    </w:p>
    <w:p w14:paraId="1EE8483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3.8具备椅位补偿功能，靠背仰俯操作同时坐垫进行同方向小幅度抬升或回落，让患者治疗体验更舒适；</w:t>
      </w:r>
    </w:p>
    <w:p w14:paraId="45D19F2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▲3.9牙科椅具备直流∕变频∕调速系统，装备低压直流电机或液压驱动系统，具有升降瞬间延时功能，使病人感觉不到椅子的瞬间冲力，无顿挫感；（需提供证明材料）</w:t>
      </w:r>
    </w:p>
    <w:p w14:paraId="6AFF26A3">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3.10牙科椅具备开机自检功能、紧急修复功能、供水冲痰联动功能、灯椅联动功能、智能复位功能、紧急制动安全装置、机椅互锁等功能；</w:t>
      </w:r>
    </w:p>
    <w:p w14:paraId="79D87B5E">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3.11牙科椅具备≥3个记忆椅位；</w:t>
      </w:r>
    </w:p>
    <w:p w14:paraId="575DFF35">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4.消毒系统</w:t>
      </w:r>
    </w:p>
    <w:p w14:paraId="3C1AFF8D">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color w:val="000000"/>
          <w:kern w:val="2"/>
          <w:sz w:val="21"/>
          <w:szCs w:val="21"/>
          <w:lang w:val="en-US" w:eastAsia="zh-CN" w:bidi="ar"/>
        </w:rPr>
        <w:t>▲4.1一键全自动消毒：只需一个按键即可实现全电脑程序控制的管道冲洗、消毒液注入、静置、再冲洗全流程，此过程当中无需人为干预；（需提供证明材料）</w:t>
      </w:r>
    </w:p>
    <w:p w14:paraId="37AE3F30">
      <w:pPr>
        <w:pStyle w:val="8"/>
        <w:keepNext w:val="0"/>
        <w:keepLines w:val="0"/>
        <w:widowControl/>
        <w:suppressLineNumbers w:val="0"/>
        <w:spacing w:before="60" w:beforeAutospacing="0" w:after="60" w:afterAutospacing="0" w:line="312" w:lineRule="auto"/>
        <w:ind w:left="0" w:right="0"/>
        <w:jc w:val="left"/>
        <w:rPr>
          <w:sz w:val="21"/>
          <w:szCs w:val="21"/>
          <w:lang w:val="en-US"/>
        </w:rPr>
      </w:pPr>
      <w:r>
        <w:rPr>
          <w:rFonts w:hint="eastAsia" w:ascii="宋体" w:hAnsi="宋体" w:eastAsia="宋体" w:cs="宋体"/>
          <w:color w:val="000000"/>
          <w:sz w:val="21"/>
          <w:szCs w:val="21"/>
          <w:lang w:val="en-US"/>
        </w:rPr>
        <w:t>4.2</w:t>
      </w:r>
      <w:r>
        <w:rPr>
          <w:rFonts w:hint="eastAsia" w:ascii="宋体" w:hAnsi="宋体" w:eastAsia="宋体" w:cs="宋体"/>
          <w:color w:val="000000"/>
          <w:sz w:val="21"/>
          <w:szCs w:val="21"/>
          <w:lang w:eastAsia="zh-CN"/>
        </w:rPr>
        <w:t>参照</w:t>
      </w:r>
      <w:r>
        <w:rPr>
          <w:rFonts w:hint="eastAsia" w:ascii="宋体" w:hAnsi="宋体" w:eastAsia="宋体" w:cs="宋体"/>
          <w:color w:val="000000"/>
          <w:sz w:val="21"/>
          <w:szCs w:val="21"/>
          <w:lang w:val="en-US"/>
        </w:rPr>
        <w:t>GB/T 5750.12-2006</w:t>
      </w:r>
      <w:r>
        <w:rPr>
          <w:rFonts w:hint="eastAsia" w:ascii="宋体" w:hAnsi="宋体" w:eastAsia="宋体" w:cs="宋体"/>
          <w:color w:val="000000"/>
          <w:sz w:val="21"/>
          <w:szCs w:val="21"/>
          <w:lang w:eastAsia="zh-CN"/>
        </w:rPr>
        <w:t>《生活饮用水标准检验方法微生物指标》，消毒后手机管、三用枪管达到合格标准；</w:t>
      </w:r>
    </w:p>
    <w:p w14:paraId="4C692B3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4.3手机管冲洗功能，方便每次治疗前后进行单独手机管道冲洗；</w:t>
      </w:r>
    </w:p>
    <w:p w14:paraId="441576F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5.医生治疗台单元</w:t>
      </w:r>
    </w:p>
    <w:p w14:paraId="692A470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5.1下挂式器械盘，配置≥15功能按键的控制面板和防滑透明硅胶软垫、低压24伏观灯等；</w:t>
      </w:r>
    </w:p>
    <w:p w14:paraId="3AF0832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5.2手机具有防回吸功能，可以防止手机回吸引起的管道内部感染； </w:t>
      </w:r>
    </w:p>
    <w:p w14:paraId="20D5F4B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▲5.3平衡臂可承受重≥5KG，放置重物时运行移动平稳顺滑，稳定可靠；（需提供证明材料）</w:t>
      </w:r>
    </w:p>
    <w:p w14:paraId="5EB7C03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5.4具备拨杆式一键水气开关，一键关闭水、气；</w:t>
      </w:r>
    </w:p>
    <w:p w14:paraId="4A5C15BF">
      <w:pPr>
        <w:pStyle w:val="17"/>
        <w:widowControl/>
        <w:ind w:left="0" w:firstLine="0" w:firstLineChars="0"/>
        <w:rPr>
          <w:rFonts w:hint="eastAsia" w:ascii="宋体" w:hAnsi="宋体" w:eastAsia="宋体" w:cs="宋体"/>
          <w:color w:val="000000"/>
          <w:szCs w:val="21"/>
          <w:lang w:val="en-US"/>
        </w:rPr>
      </w:pPr>
      <w:r>
        <w:rPr>
          <w:rFonts w:hint="eastAsia" w:ascii="宋体" w:hAnsi="宋体" w:eastAsia="宋体" w:cs="宋体"/>
          <w:color w:val="000000"/>
          <w:szCs w:val="21"/>
          <w:lang w:val="en-US"/>
        </w:rPr>
        <w:t>6.</w:t>
      </w:r>
      <w:r>
        <w:rPr>
          <w:rFonts w:hint="eastAsia" w:ascii="宋体" w:hAnsi="宋体" w:eastAsia="宋体" w:cs="宋体"/>
          <w:color w:val="000000"/>
          <w:szCs w:val="21"/>
          <w:lang w:eastAsia="zh-CN"/>
        </w:rPr>
        <w:t>侧箱单元</w:t>
      </w:r>
    </w:p>
    <w:p w14:paraId="40F4AE4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6.1箱体可向外旋转45度；</w:t>
      </w:r>
    </w:p>
    <w:p w14:paraId="13DB69E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▲6.2 侧箱内部为整体铸造铝合金箱架，重量轻，强度高，耐腐蚀 ；（需提供证明材料）</w:t>
      </w:r>
    </w:p>
    <w:p w14:paraId="536CE85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 6.3侧箱箱壳采用注塑工艺，材质拥有卓越的耐酒精腐蚀，耐黄变性；</w:t>
      </w:r>
    </w:p>
    <w:p w14:paraId="146425F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6.4侧箱双边侧门可完全打开，方便设备进行检修，侧箱门固定采用磁铁吸附，无需工具就可以快速拆卸和安装；</w:t>
      </w:r>
    </w:p>
    <w:p w14:paraId="55F75E5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6.5</w:t>
      </w:r>
      <w:bookmarkStart w:id="4" w:name="_Hlk116915963"/>
      <w:r>
        <w:rPr>
          <w:rFonts w:hint="eastAsia" w:ascii="宋体" w:hAnsi="宋体" w:eastAsia="宋体" w:cs="宋体"/>
          <w:color w:val="000000"/>
          <w:kern w:val="2"/>
          <w:sz w:val="21"/>
          <w:szCs w:val="21"/>
          <w:lang w:val="en-US" w:eastAsia="zh-CN" w:bidi="ar"/>
        </w:rPr>
        <w:t>可旋转≥90°的可拆卸玻璃痰盂缸；配有消毒挂架，并具有至少2个三用枪插孔和4个手机管插孔；</w:t>
      </w:r>
      <w:bookmarkEnd w:id="4"/>
      <w:bookmarkStart w:id="5" w:name="_Hlk116915716"/>
    </w:p>
    <w:p w14:paraId="4D38C4D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6.6双水瓶配置，水瓶容量＞2L；</w:t>
      </w:r>
    </w:p>
    <w:bookmarkEnd w:id="5"/>
    <w:p w14:paraId="5508727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6.7治疗机内部所有水管、气管采用进口材质管道；</w:t>
      </w:r>
    </w:p>
    <w:p w14:paraId="2436779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6.8具有漱口水恒温系统，具有超温安全保护，水杯供水系统和冲痰盂系统可根据医生的要求设定时间；</w:t>
      </w:r>
    </w:p>
    <w:p w14:paraId="57C3365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7.助手位单元</w:t>
      </w:r>
    </w:p>
    <w:p w14:paraId="11F9C76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7.1配置≥10功能按键的助手控制面板；</w:t>
      </w:r>
    </w:p>
    <w:p w14:paraId="078BCCB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 xml:space="preserve">7.2强弱吸手柄各1支，手柄采用进口高分子材料制成，耐高温高压消毒，耐酸碱腐蚀； </w:t>
      </w:r>
    </w:p>
    <w:p w14:paraId="5FE06E6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7.3热水三用枪各1支；</w:t>
      </w:r>
    </w:p>
    <w:p w14:paraId="6A696E22">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7.4配置助手搁置台；</w:t>
      </w:r>
    </w:p>
    <w:p w14:paraId="6DBD602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7.5双关节助手杆，双关节可单独进行大范围灵活转动，便于助手进行四手操作；</w:t>
      </w:r>
    </w:p>
    <w:p w14:paraId="536920F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8.地箱</w:t>
      </w:r>
    </w:p>
    <w:p w14:paraId="71503025">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8.1内置封闭电源：防潮、防尘，防电磁干扰；裸露的电线都符合人体安全电压；</w:t>
      </w:r>
    </w:p>
    <w:p w14:paraId="5DFB156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▲8.2防污染的下水排污连接组件，可有效隔绝下水管道对诊室造成的病菌、异味和污水回流的污染；</w:t>
      </w:r>
      <w:bookmarkStart w:id="6" w:name="_Hlk116915872"/>
      <w:r>
        <w:rPr>
          <w:rFonts w:hint="eastAsia" w:ascii="宋体" w:hAnsi="宋体" w:eastAsia="宋体" w:cs="宋体"/>
          <w:color w:val="000000"/>
          <w:kern w:val="2"/>
          <w:sz w:val="21"/>
          <w:szCs w:val="21"/>
          <w:lang w:val="en-US" w:eastAsia="zh-CN" w:bidi="ar"/>
        </w:rPr>
        <w:t>（需提供证明材料）</w:t>
      </w:r>
    </w:p>
    <w:p w14:paraId="0DE027F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9.配置多功能脚踏开关，水气由独立踏板控制，可进行椅位调节，集成供水冲痰、吹屑气和口腔灯控制功能；</w:t>
      </w:r>
    </w:p>
    <w:bookmarkEnd w:id="6"/>
    <w:p w14:paraId="68EA2DD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bookmarkStart w:id="7" w:name="_Hlk118463025"/>
      <w:bookmarkStart w:id="8" w:name="_Hlk118463269"/>
      <w:r>
        <w:rPr>
          <w:rFonts w:hint="eastAsia" w:ascii="宋体" w:hAnsi="宋体" w:eastAsia="宋体" w:cs="宋体"/>
          <w:color w:val="000000"/>
          <w:kern w:val="2"/>
          <w:sz w:val="21"/>
          <w:szCs w:val="21"/>
          <w:lang w:val="en-US" w:eastAsia="zh-CN" w:bidi="ar"/>
        </w:rPr>
        <w:t>10.配置医生椅至少有八个方位可调节，脚轮架采用精密铝合金铸造件，脚轮采用静音轮</w:t>
      </w:r>
      <w:bookmarkEnd w:id="7"/>
      <w:r>
        <w:rPr>
          <w:rFonts w:hint="eastAsia" w:ascii="宋体" w:hAnsi="宋体" w:eastAsia="宋体" w:cs="宋体"/>
          <w:color w:val="000000"/>
          <w:kern w:val="2"/>
          <w:sz w:val="21"/>
          <w:szCs w:val="21"/>
          <w:lang w:val="en-US" w:eastAsia="zh-CN" w:bidi="ar"/>
        </w:rPr>
        <w:t>。</w:t>
      </w:r>
    </w:p>
    <w:bookmarkEnd w:id="3"/>
    <w:bookmarkEnd w:id="8"/>
    <w:p w14:paraId="3E13FCE8">
      <w:pPr>
        <w:keepNext w:val="0"/>
        <w:keepLines w:val="0"/>
        <w:widowControl w:val="0"/>
        <w:suppressLineNumbers w:val="0"/>
        <w:adjustRightInd w:val="0"/>
        <w:spacing w:before="0" w:beforeAutospacing="0" w:after="0" w:afterAutospacing="0"/>
        <w:ind w:left="0" w:right="0"/>
        <w:jc w:val="both"/>
        <w:textAlignment w:val="baseline"/>
        <w:rPr>
          <w:rFonts w:hint="eastAsia" w:ascii="宋体" w:hAnsi="宋体" w:eastAsia="宋体" w:cs="宋体"/>
          <w:bCs/>
          <w:color w:val="000000"/>
          <w:kern w:val="0"/>
          <w:szCs w:val="21"/>
          <w:vertAlign w:val="baseline"/>
          <w:lang w:val="en-US" w:bidi="ar"/>
        </w:rPr>
      </w:pPr>
      <w:r>
        <w:rPr>
          <w:rFonts w:hint="eastAsia" w:ascii="宋体" w:hAnsi="宋体" w:eastAsia="宋体" w:cs="宋体"/>
          <w:bCs/>
          <w:color w:val="000000"/>
          <w:kern w:val="0"/>
          <w:sz w:val="21"/>
          <w:szCs w:val="21"/>
          <w:vertAlign w:val="baseline"/>
          <w:lang w:val="en-US" w:eastAsia="zh-CN" w:bidi="ar"/>
        </w:rPr>
        <w:t>（二）基本配置要求</w:t>
      </w:r>
    </w:p>
    <w:p w14:paraId="104C734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1．LED口腔灯 1套</w:t>
      </w:r>
    </w:p>
    <w:p w14:paraId="4B62B88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2．病人椅 1套</w:t>
      </w:r>
    </w:p>
    <w:p w14:paraId="26A0F7E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3．下挂式医生工作台 1套</w:t>
      </w:r>
    </w:p>
    <w:p w14:paraId="5D361A8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4．智能控制系统及轻触式控制面板 1套</w:t>
      </w:r>
    </w:p>
    <w:p w14:paraId="067A97B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5. 高、低速手机管线 3套</w:t>
      </w:r>
    </w:p>
    <w:p w14:paraId="60D16A3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6．一键全自动消毒系统1套</w:t>
      </w:r>
    </w:p>
    <w:p w14:paraId="672AC56E">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7. 可旋转45度侧箱 1套</w:t>
      </w:r>
    </w:p>
    <w:p w14:paraId="2B25EE1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8. 内置热水系统 1套</w:t>
      </w:r>
    </w:p>
    <w:p w14:paraId="1F1A807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9. 三用枪 2套</w:t>
      </w:r>
    </w:p>
    <w:p w14:paraId="5C4F9B81">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10. 纯净水系统 1套</w:t>
      </w:r>
    </w:p>
    <w:p w14:paraId="3FAA4587">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11. 消毒水系统 1套</w:t>
      </w:r>
    </w:p>
    <w:p w14:paraId="33A7CC14">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12. 可拆卸玻璃痰盂缸 1套</w:t>
      </w:r>
    </w:p>
    <w:p w14:paraId="0BA7117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13. 自动定量给水系统 1套</w:t>
      </w:r>
    </w:p>
    <w:p w14:paraId="0EA892A8">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14. 助手挂架带控制面板1套</w:t>
      </w:r>
    </w:p>
    <w:p w14:paraId="6D19F13F">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15. 强弱吸系统  1套</w:t>
      </w:r>
    </w:p>
    <w:p w14:paraId="15572A3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16. 地箱 1套</w:t>
      </w:r>
    </w:p>
    <w:p w14:paraId="5273A04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17．多功能脚踏 1套</w:t>
      </w:r>
    </w:p>
    <w:p w14:paraId="65E0518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18．医师椅 1套</w:t>
      </w:r>
    </w:p>
    <w:p w14:paraId="7030090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19. 护士椅 1套</w:t>
      </w:r>
    </w:p>
    <w:p w14:paraId="4F8E575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20. 高速手机2把</w:t>
      </w:r>
    </w:p>
    <w:p w14:paraId="333CFC65">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21. 低速手机1套</w:t>
      </w:r>
    </w:p>
    <w:p w14:paraId="04F272F9">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22. 内置洁牙机2套</w:t>
      </w:r>
    </w:p>
    <w:p w14:paraId="31D2AC8C">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Cs w:val="21"/>
          <w:lang w:val="en-US"/>
        </w:rPr>
      </w:pPr>
      <w:r>
        <w:rPr>
          <w:rFonts w:hint="eastAsia" w:ascii="宋体" w:hAnsi="宋体" w:eastAsia="宋体" w:cs="宋体"/>
          <w:color w:val="000000"/>
          <w:kern w:val="2"/>
          <w:sz w:val="21"/>
          <w:szCs w:val="21"/>
          <w:lang w:val="en-US" w:eastAsia="zh-CN" w:bidi="ar"/>
        </w:rPr>
        <w:t>23. 光固化灯1个</w:t>
      </w:r>
    </w:p>
    <w:p w14:paraId="24A230BB">
      <w:pPr>
        <w:keepNext w:val="0"/>
        <w:keepLines w:val="0"/>
        <w:widowControl w:val="0"/>
        <w:suppressLineNumbers w:val="0"/>
        <w:spacing w:before="0" w:beforeAutospacing="0" w:after="0" w:afterAutospacing="0"/>
        <w:ind w:left="0" w:right="0"/>
        <w:jc w:val="both"/>
        <w:rPr>
          <w:rFonts w:hint="eastAsia" w:ascii="宋体" w:hAnsi="宋体" w:eastAsia="宋体" w:cs="宋体"/>
          <w:bCs/>
          <w:color w:val="000000"/>
          <w:kern w:val="0"/>
          <w:szCs w:val="21"/>
          <w:lang w:val="en-US" w:bidi="ar"/>
        </w:rPr>
      </w:pPr>
    </w:p>
    <w:p w14:paraId="682A9188">
      <w:pPr>
        <w:keepNext w:val="0"/>
        <w:keepLines w:val="0"/>
        <w:widowControl/>
        <w:suppressLineNumbers w:val="0"/>
        <w:spacing w:before="0" w:beforeAutospacing="0" w:after="0" w:afterAutospacing="0"/>
        <w:ind w:left="0" w:right="0"/>
        <w:jc w:val="left"/>
        <w:rPr>
          <w:rFonts w:hAnsi="宋体" w:cs="宋体"/>
          <w:bCs/>
          <w:lang w:val="en-US"/>
        </w:rPr>
      </w:pPr>
      <w:r>
        <w:rPr>
          <w:rFonts w:hint="eastAsia" w:ascii="Times New Roman" w:hAnsi="宋体" w:eastAsia="宋体" w:cs="宋体"/>
          <w:bCs/>
          <w:kern w:val="2"/>
          <w:sz w:val="21"/>
          <w:szCs w:val="24"/>
          <w:lang w:val="en-US" w:eastAsia="zh-CN" w:bidi="ar"/>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30"/>
        <w:gridCol w:w="2418"/>
        <w:gridCol w:w="6412"/>
      </w:tblGrid>
      <w:tr w14:paraId="306A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476" w:type="pct"/>
            <w:tcBorders>
              <w:top w:val="single" w:color="auto" w:sz="4" w:space="0"/>
              <w:left w:val="single" w:color="auto" w:sz="4" w:space="0"/>
              <w:bottom w:val="single" w:color="auto" w:sz="4" w:space="0"/>
              <w:right w:val="single" w:color="auto" w:sz="4" w:space="0"/>
            </w:tcBorders>
            <w:shd w:val="clear" w:color="auto" w:fill="auto"/>
            <w:vAlign w:val="top"/>
          </w:tcPr>
          <w:p w14:paraId="6FA1B44A">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szCs w:val="20"/>
                <w:lang w:val="zh-CN"/>
              </w:rPr>
            </w:pPr>
            <w:r>
              <w:rPr>
                <w:rFonts w:hint="eastAsia" w:ascii="Times New Roman" w:hAnsi="宋体" w:eastAsia="宋体" w:cs="宋体"/>
                <w:bCs/>
                <w:snapToGrid w:val="0"/>
                <w:kern w:val="2"/>
                <w:sz w:val="21"/>
                <w:szCs w:val="24"/>
                <w:lang w:val="zh-CN" w:eastAsia="zh-CN" w:bidi="ar"/>
              </w:rPr>
              <w:t>序号</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top"/>
          </w:tcPr>
          <w:p w14:paraId="7EB1DA35">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szCs w:val="20"/>
                <w:lang w:val="zh-CN"/>
              </w:rPr>
            </w:pPr>
            <w:r>
              <w:rPr>
                <w:rFonts w:hint="eastAsia" w:ascii="Times New Roman" w:hAnsi="宋体" w:eastAsia="宋体" w:cs="宋体"/>
                <w:bCs/>
                <w:snapToGrid w:val="0"/>
                <w:kern w:val="2"/>
                <w:sz w:val="21"/>
                <w:szCs w:val="24"/>
                <w:lang w:val="zh-CN" w:eastAsia="zh-CN" w:bidi="ar"/>
              </w:rPr>
              <w:t>商务和服务项目</w:t>
            </w:r>
          </w:p>
        </w:tc>
        <w:tc>
          <w:tcPr>
            <w:tcW w:w="3283" w:type="pct"/>
            <w:tcBorders>
              <w:top w:val="single" w:color="auto" w:sz="4" w:space="0"/>
              <w:left w:val="single" w:color="auto" w:sz="4" w:space="0"/>
              <w:bottom w:val="single" w:color="auto" w:sz="4" w:space="0"/>
              <w:right w:val="single" w:color="auto" w:sz="4" w:space="0"/>
            </w:tcBorders>
            <w:shd w:val="clear" w:color="auto" w:fill="auto"/>
            <w:vAlign w:val="top"/>
          </w:tcPr>
          <w:p w14:paraId="444967E7">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szCs w:val="20"/>
                <w:lang w:val="zh-CN"/>
              </w:rPr>
            </w:pPr>
            <w:r>
              <w:rPr>
                <w:rFonts w:hint="eastAsia" w:ascii="Times New Roman" w:hAnsi="宋体" w:eastAsia="宋体" w:cs="宋体"/>
                <w:bCs/>
                <w:snapToGrid w:val="0"/>
                <w:kern w:val="2"/>
                <w:sz w:val="21"/>
                <w:szCs w:val="24"/>
                <w:lang w:val="zh-CN" w:eastAsia="zh-CN" w:bidi="ar"/>
              </w:rPr>
              <w:t>商务和服务要求</w:t>
            </w:r>
          </w:p>
        </w:tc>
      </w:tr>
      <w:tr w14:paraId="6C16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3F197627">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color w:val="000000"/>
                <w:szCs w:val="20"/>
                <w:lang w:val="zh-CN"/>
              </w:rPr>
            </w:pPr>
            <w:r>
              <w:rPr>
                <w:rFonts w:hint="default" w:ascii="Times New Roman" w:hAnsi="宋体" w:eastAsia="宋体" w:cs="宋体"/>
                <w:bCs/>
                <w:snapToGrid w:val="0"/>
                <w:color w:val="000000"/>
                <w:kern w:val="2"/>
                <w:sz w:val="21"/>
                <w:szCs w:val="24"/>
                <w:lang w:val="zh-CN" w:eastAsia="zh-CN" w:bidi="ar"/>
              </w:rPr>
              <w:t>1</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center"/>
          </w:tcPr>
          <w:p w14:paraId="78F3A3D0">
            <w:pPr>
              <w:keepNext w:val="0"/>
              <w:keepLines w:val="0"/>
              <w:widowControl/>
              <w:suppressLineNumbers w:val="0"/>
              <w:spacing w:before="0" w:beforeAutospacing="0" w:after="0" w:afterAutospacing="0" w:line="360" w:lineRule="auto"/>
              <w:ind w:left="0" w:right="0"/>
              <w:jc w:val="center"/>
              <w:rPr>
                <w:rFonts w:hint="default" w:hAnsi="宋体" w:cs="宋体"/>
                <w:bCs/>
                <w:snapToGrid w:val="0"/>
                <w:color w:val="000000"/>
                <w:szCs w:val="20"/>
                <w:lang w:val="zh-CN"/>
              </w:rPr>
            </w:pPr>
            <w:r>
              <w:rPr>
                <w:rFonts w:hint="eastAsia" w:ascii="Times New Roman" w:hAnsi="宋体" w:eastAsia="宋体" w:cs="宋体"/>
                <w:bCs/>
                <w:color w:val="000000"/>
                <w:kern w:val="2"/>
                <w:sz w:val="21"/>
                <w:szCs w:val="24"/>
                <w:lang w:val="en-US" w:eastAsia="zh-CN" w:bidi="ar"/>
              </w:rPr>
              <w:t>交货期</w:t>
            </w:r>
          </w:p>
        </w:tc>
        <w:tc>
          <w:tcPr>
            <w:tcW w:w="3283" w:type="pct"/>
            <w:tcBorders>
              <w:top w:val="single" w:color="auto" w:sz="4" w:space="0"/>
              <w:left w:val="single" w:color="auto" w:sz="4" w:space="0"/>
              <w:bottom w:val="single" w:color="auto" w:sz="4" w:space="0"/>
              <w:right w:val="single" w:color="auto" w:sz="4" w:space="0"/>
            </w:tcBorders>
            <w:shd w:val="clear" w:color="auto" w:fill="auto"/>
            <w:vAlign w:val="center"/>
          </w:tcPr>
          <w:p w14:paraId="643C7271">
            <w:pPr>
              <w:keepNext w:val="0"/>
              <w:keepLines w:val="0"/>
              <w:widowControl/>
              <w:suppressLineNumbers w:val="0"/>
              <w:spacing w:before="0" w:beforeAutospacing="0" w:after="0" w:afterAutospacing="0" w:line="360" w:lineRule="auto"/>
              <w:ind w:left="0" w:right="0"/>
              <w:jc w:val="left"/>
              <w:rPr>
                <w:rFonts w:hint="default" w:hAnsi="宋体" w:cs="宋体"/>
                <w:bCs/>
                <w:snapToGrid w:val="0"/>
                <w:color w:val="000000"/>
                <w:szCs w:val="20"/>
                <w:lang w:val="zh-CN"/>
              </w:rPr>
            </w:pPr>
            <w:r>
              <w:rPr>
                <w:rFonts w:hint="eastAsia" w:ascii="Times New Roman" w:hAnsi="宋体" w:eastAsia="宋体" w:cs="宋体"/>
                <w:bCs/>
                <w:color w:val="000000"/>
                <w:kern w:val="2"/>
                <w:sz w:val="21"/>
                <w:szCs w:val="24"/>
                <w:lang w:val="en-US" w:eastAsia="zh-CN" w:bidi="ar"/>
              </w:rPr>
              <w:t>合同签订生效后一个月内</w:t>
            </w:r>
          </w:p>
        </w:tc>
      </w:tr>
      <w:tr w14:paraId="62A7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611AD3D8">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color w:val="000000"/>
                <w:szCs w:val="20"/>
                <w:lang w:val="zh-CN"/>
              </w:rPr>
            </w:pPr>
            <w:r>
              <w:rPr>
                <w:rFonts w:hint="default" w:ascii="Times New Roman" w:hAnsi="宋体" w:eastAsia="宋体" w:cs="宋体"/>
                <w:bCs/>
                <w:snapToGrid w:val="0"/>
                <w:color w:val="000000"/>
                <w:kern w:val="2"/>
                <w:sz w:val="21"/>
                <w:szCs w:val="24"/>
                <w:lang w:val="zh-CN" w:eastAsia="zh-CN" w:bidi="ar"/>
              </w:rPr>
              <w:t>2</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center"/>
          </w:tcPr>
          <w:p w14:paraId="13D7F759">
            <w:pPr>
              <w:keepNext w:val="0"/>
              <w:keepLines w:val="0"/>
              <w:widowControl/>
              <w:suppressLineNumbers w:val="0"/>
              <w:spacing w:before="0" w:beforeAutospacing="0" w:after="0" w:afterAutospacing="0" w:line="360" w:lineRule="auto"/>
              <w:ind w:left="0" w:right="0"/>
              <w:jc w:val="center"/>
              <w:rPr>
                <w:rFonts w:hint="default" w:hAnsi="宋体" w:cs="宋体"/>
                <w:bCs/>
                <w:snapToGrid w:val="0"/>
                <w:color w:val="000000"/>
                <w:szCs w:val="20"/>
                <w:lang w:val="zh-CN"/>
              </w:rPr>
            </w:pPr>
            <w:r>
              <w:rPr>
                <w:rFonts w:hint="eastAsia" w:ascii="Times New Roman" w:hAnsi="宋体" w:eastAsia="宋体" w:cs="宋体"/>
                <w:bCs/>
                <w:color w:val="000000"/>
                <w:kern w:val="2"/>
                <w:sz w:val="21"/>
                <w:szCs w:val="24"/>
                <w:lang w:val="en-US" w:eastAsia="zh-CN" w:bidi="ar"/>
              </w:rPr>
              <w:t>保修期</w:t>
            </w:r>
          </w:p>
        </w:tc>
        <w:tc>
          <w:tcPr>
            <w:tcW w:w="3283" w:type="pct"/>
            <w:tcBorders>
              <w:top w:val="single" w:color="auto" w:sz="4" w:space="0"/>
              <w:left w:val="single" w:color="auto" w:sz="4" w:space="0"/>
              <w:bottom w:val="single" w:color="auto" w:sz="4" w:space="0"/>
              <w:right w:val="single" w:color="auto" w:sz="4" w:space="0"/>
            </w:tcBorders>
            <w:shd w:val="clear" w:color="auto" w:fill="auto"/>
            <w:vAlign w:val="center"/>
          </w:tcPr>
          <w:p w14:paraId="6181432B">
            <w:pPr>
              <w:keepNext w:val="0"/>
              <w:keepLines w:val="0"/>
              <w:widowControl/>
              <w:suppressLineNumbers w:val="0"/>
              <w:spacing w:before="0" w:beforeAutospacing="0" w:after="0" w:afterAutospacing="0" w:line="360" w:lineRule="auto"/>
              <w:ind w:left="0" w:right="0"/>
              <w:jc w:val="left"/>
              <w:rPr>
                <w:rFonts w:hint="default" w:hAnsi="宋体" w:cs="宋体"/>
                <w:bCs/>
                <w:snapToGrid w:val="0"/>
                <w:color w:val="000000"/>
                <w:szCs w:val="20"/>
                <w:lang w:val="en-US"/>
              </w:rPr>
            </w:pPr>
            <w:r>
              <w:rPr>
                <w:rFonts w:hint="eastAsia" w:ascii="Times New Roman" w:hAnsi="宋体" w:eastAsia="宋体" w:cs="宋体"/>
                <w:bCs/>
                <w:color w:val="000000"/>
                <w:kern w:val="2"/>
                <w:sz w:val="21"/>
                <w:szCs w:val="24"/>
                <w:lang w:val="en-US" w:eastAsia="zh-CN" w:bidi="ar"/>
              </w:rPr>
              <w:t>主机原厂免费质保</w:t>
            </w:r>
            <w:r>
              <w:rPr>
                <w:rFonts w:hint="eastAsia" w:hAnsi="宋体" w:eastAsia="宋体" w:cs="宋体"/>
                <w:b w:val="0"/>
                <w:bCs/>
                <w:szCs w:val="24"/>
              </w:rPr>
              <w:t>≥</w:t>
            </w:r>
            <w:r>
              <w:rPr>
                <w:rFonts w:hint="eastAsia" w:ascii="Times New Roman" w:hAnsi="宋体" w:eastAsia="宋体" w:cs="宋体"/>
                <w:bCs/>
                <w:color w:val="000000"/>
                <w:kern w:val="2"/>
                <w:sz w:val="21"/>
                <w:szCs w:val="24"/>
                <w:lang w:val="en-US" w:eastAsia="zh-CN" w:bidi="ar"/>
              </w:rPr>
              <w:t>三年，手机原厂免费质保</w:t>
            </w:r>
            <w:r>
              <w:rPr>
                <w:rFonts w:hint="eastAsia" w:hAnsi="宋体" w:eastAsia="宋体" w:cs="宋体"/>
                <w:b w:val="0"/>
                <w:bCs/>
                <w:szCs w:val="24"/>
              </w:rPr>
              <w:t>≥</w:t>
            </w:r>
            <w:r>
              <w:rPr>
                <w:rFonts w:hint="eastAsia" w:ascii="Times New Roman" w:hAnsi="宋体" w:eastAsia="宋体" w:cs="宋体"/>
                <w:bCs/>
                <w:color w:val="000000"/>
                <w:kern w:val="2"/>
                <w:sz w:val="21"/>
                <w:szCs w:val="24"/>
                <w:lang w:val="en-US" w:eastAsia="zh-CN" w:bidi="ar"/>
              </w:rPr>
              <w:t>一年</w:t>
            </w:r>
          </w:p>
        </w:tc>
      </w:tr>
      <w:tr w14:paraId="1393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43B97C7A">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szCs w:val="20"/>
                <w:lang w:val="zh-CN"/>
              </w:rPr>
            </w:pPr>
            <w:r>
              <w:rPr>
                <w:rFonts w:hint="default" w:ascii="Times New Roman" w:hAnsi="宋体" w:eastAsia="宋体" w:cs="宋体"/>
                <w:bCs/>
                <w:snapToGrid w:val="0"/>
                <w:kern w:val="2"/>
                <w:sz w:val="21"/>
                <w:szCs w:val="24"/>
                <w:lang w:val="zh-CN" w:eastAsia="zh-CN" w:bidi="ar"/>
              </w:rPr>
              <w:t>3</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center"/>
          </w:tcPr>
          <w:p w14:paraId="75900C53">
            <w:pPr>
              <w:keepNext w:val="0"/>
              <w:keepLines w:val="0"/>
              <w:widowControl/>
              <w:suppressLineNumbers w:val="0"/>
              <w:spacing w:before="0" w:beforeAutospacing="0" w:after="0" w:afterAutospacing="0" w:line="360" w:lineRule="auto"/>
              <w:ind w:left="0" w:right="0"/>
              <w:jc w:val="center"/>
              <w:rPr>
                <w:rFonts w:hint="default"/>
                <w:bCs/>
                <w:szCs w:val="20"/>
                <w:lang w:val="en-US"/>
              </w:rPr>
            </w:pPr>
            <w:r>
              <w:rPr>
                <w:rFonts w:hint="eastAsia" w:ascii="Times New Roman" w:hAnsi="宋体" w:eastAsia="宋体" w:cs="宋体"/>
                <w:bCs/>
                <w:kern w:val="2"/>
                <w:sz w:val="21"/>
                <w:szCs w:val="24"/>
                <w:lang w:val="en-US" w:eastAsia="zh-CN" w:bidi="ar"/>
              </w:rPr>
              <w:t>售后</w:t>
            </w:r>
          </w:p>
          <w:p w14:paraId="53A3A9DE">
            <w:pPr>
              <w:keepNext w:val="0"/>
              <w:keepLines w:val="0"/>
              <w:widowControl/>
              <w:suppressLineNumbers w:val="0"/>
              <w:spacing w:before="0" w:beforeAutospacing="0" w:after="0" w:afterAutospacing="0" w:line="360" w:lineRule="auto"/>
              <w:ind w:left="0" w:right="0"/>
              <w:jc w:val="center"/>
              <w:rPr>
                <w:rFonts w:hint="default" w:hAnsi="宋体" w:cs="宋体"/>
                <w:bCs/>
                <w:snapToGrid w:val="0"/>
                <w:szCs w:val="20"/>
                <w:lang w:val="zh-CN"/>
              </w:rPr>
            </w:pPr>
            <w:r>
              <w:rPr>
                <w:rFonts w:hint="eastAsia" w:ascii="Times New Roman" w:hAnsi="宋体" w:eastAsia="宋体" w:cs="宋体"/>
                <w:bCs/>
                <w:kern w:val="2"/>
                <w:sz w:val="21"/>
                <w:szCs w:val="24"/>
                <w:lang w:val="en-US" w:eastAsia="zh-CN" w:bidi="ar"/>
              </w:rPr>
              <w:t>服务承诺</w:t>
            </w:r>
          </w:p>
        </w:tc>
        <w:tc>
          <w:tcPr>
            <w:tcW w:w="3283" w:type="pct"/>
            <w:tcBorders>
              <w:top w:val="single" w:color="auto" w:sz="4" w:space="0"/>
              <w:left w:val="single" w:color="auto" w:sz="4" w:space="0"/>
              <w:bottom w:val="single" w:color="auto" w:sz="4" w:space="0"/>
              <w:right w:val="single" w:color="auto" w:sz="4" w:space="0"/>
            </w:tcBorders>
            <w:shd w:val="clear" w:color="auto" w:fill="auto"/>
            <w:vAlign w:val="top"/>
          </w:tcPr>
          <w:p w14:paraId="0DFB93D3">
            <w:pPr>
              <w:keepNext w:val="0"/>
              <w:keepLines w:val="0"/>
              <w:widowControl/>
              <w:suppressLineNumbers w:val="0"/>
              <w:adjustRightInd w:val="0"/>
              <w:snapToGrid w:val="0"/>
              <w:spacing w:before="0" w:beforeAutospacing="0" w:after="0" w:afterAutospacing="0" w:line="360" w:lineRule="auto"/>
              <w:ind w:left="0" w:right="0"/>
              <w:jc w:val="both"/>
              <w:rPr>
                <w:rFonts w:hint="default" w:hAnsi="宋体" w:cs="宋体"/>
                <w:bCs/>
                <w:szCs w:val="20"/>
                <w:lang w:val="en-US"/>
              </w:rPr>
            </w:pPr>
            <w:r>
              <w:rPr>
                <w:rFonts w:hint="eastAsia" w:ascii="Times New Roman" w:hAnsi="宋体" w:eastAsia="宋体" w:cs="宋体"/>
                <w:bCs/>
                <w:kern w:val="2"/>
                <w:sz w:val="21"/>
                <w:szCs w:val="24"/>
                <w:lang w:val="en-US" w:eastAsia="zh-CN" w:bidi="ar"/>
              </w:rPr>
              <w:t>（</w:t>
            </w:r>
            <w:r>
              <w:rPr>
                <w:rFonts w:hint="default" w:ascii="Times New Roman" w:hAnsi="宋体" w:eastAsia="宋体" w:cs="宋体"/>
                <w:bCs/>
                <w:kern w:val="2"/>
                <w:sz w:val="21"/>
                <w:szCs w:val="24"/>
                <w:lang w:val="en-US" w:eastAsia="zh-CN" w:bidi="ar"/>
              </w:rPr>
              <w:t>1</w:t>
            </w:r>
            <w:r>
              <w:rPr>
                <w:rFonts w:hint="eastAsia" w:ascii="Times New Roman" w:hAnsi="宋体" w:eastAsia="宋体" w:cs="宋体"/>
                <w:bCs/>
                <w:kern w:val="2"/>
                <w:sz w:val="21"/>
                <w:szCs w:val="24"/>
                <w:lang w:val="en-US" w:eastAsia="zh-CN" w:bidi="ar"/>
              </w:rPr>
              <w:t>）在保修期内，如有损坏或质量不合格者，卖方应及时给予修复和更换，其修理和更换应免费。正常修理周期和修理期间需提供免费测试。</w:t>
            </w:r>
          </w:p>
          <w:p w14:paraId="56CB969D">
            <w:pPr>
              <w:keepNext w:val="0"/>
              <w:keepLines w:val="0"/>
              <w:widowControl/>
              <w:suppressLineNumbers w:val="0"/>
              <w:adjustRightInd w:val="0"/>
              <w:snapToGrid w:val="0"/>
              <w:spacing w:before="0" w:beforeAutospacing="0" w:after="0" w:afterAutospacing="0" w:line="360" w:lineRule="auto"/>
              <w:ind w:left="0" w:right="0"/>
              <w:jc w:val="both"/>
              <w:rPr>
                <w:rFonts w:hint="default" w:hAnsi="宋体" w:cs="宋体"/>
                <w:bCs/>
                <w:szCs w:val="20"/>
                <w:lang w:val="en-US"/>
              </w:rPr>
            </w:pPr>
            <w:r>
              <w:rPr>
                <w:rFonts w:hint="eastAsia" w:ascii="Times New Roman" w:hAnsi="宋体" w:eastAsia="宋体" w:cs="宋体"/>
                <w:bCs/>
                <w:kern w:val="2"/>
                <w:sz w:val="21"/>
                <w:szCs w:val="24"/>
                <w:lang w:val="en-US" w:eastAsia="zh-CN" w:bidi="ar"/>
              </w:rPr>
              <w:t>（</w:t>
            </w:r>
            <w:r>
              <w:rPr>
                <w:rFonts w:hint="default" w:ascii="Times New Roman" w:hAnsi="宋体" w:eastAsia="宋体" w:cs="宋体"/>
                <w:bCs/>
                <w:kern w:val="2"/>
                <w:sz w:val="21"/>
                <w:szCs w:val="24"/>
                <w:lang w:val="en-US" w:eastAsia="zh-CN" w:bidi="ar"/>
              </w:rPr>
              <w:t>2</w:t>
            </w:r>
            <w:r>
              <w:rPr>
                <w:rFonts w:hint="eastAsia" w:ascii="Times New Roman" w:hAnsi="宋体" w:eastAsia="宋体" w:cs="宋体"/>
                <w:bCs/>
                <w:kern w:val="2"/>
                <w:sz w:val="21"/>
                <w:szCs w:val="24"/>
                <w:lang w:val="en-US" w:eastAsia="zh-CN" w:bidi="ar"/>
              </w:rPr>
              <w:t>）在保修期外，卖方为仪器提供终身维修服务，维修问题出现时，按技术参数服务要求相应条款处理。</w:t>
            </w:r>
          </w:p>
          <w:p w14:paraId="0B5270F9">
            <w:pPr>
              <w:keepNext w:val="0"/>
              <w:keepLines w:val="0"/>
              <w:widowControl/>
              <w:suppressLineNumbers w:val="0"/>
              <w:adjustRightInd w:val="0"/>
              <w:snapToGrid w:val="0"/>
              <w:spacing w:before="0" w:beforeAutospacing="0" w:after="0" w:afterAutospacing="0" w:line="360" w:lineRule="auto"/>
              <w:ind w:left="0" w:right="0"/>
              <w:jc w:val="both"/>
              <w:rPr>
                <w:rFonts w:hint="default" w:hAnsi="宋体" w:cs="宋体"/>
                <w:bCs/>
                <w:szCs w:val="20"/>
                <w:lang w:val="en-US"/>
              </w:rPr>
            </w:pPr>
            <w:r>
              <w:rPr>
                <w:rFonts w:hint="eastAsia" w:ascii="Times New Roman" w:hAnsi="宋体" w:eastAsia="宋体" w:cs="宋体"/>
                <w:bCs/>
                <w:kern w:val="2"/>
                <w:sz w:val="21"/>
                <w:szCs w:val="24"/>
                <w:lang w:val="en-US" w:eastAsia="zh-CN" w:bidi="ar"/>
              </w:rPr>
              <w:t>（</w:t>
            </w:r>
            <w:r>
              <w:rPr>
                <w:rFonts w:hint="default" w:ascii="Times New Roman" w:hAnsi="宋体" w:eastAsia="宋体" w:cs="宋体"/>
                <w:bCs/>
                <w:kern w:val="2"/>
                <w:sz w:val="21"/>
                <w:szCs w:val="24"/>
                <w:lang w:val="en-US" w:eastAsia="zh-CN" w:bidi="ar"/>
              </w:rPr>
              <w:t>3</w:t>
            </w:r>
            <w:r>
              <w:rPr>
                <w:rFonts w:hint="eastAsia" w:ascii="Times New Roman" w:hAnsi="宋体" w:eastAsia="宋体" w:cs="宋体"/>
                <w:bCs/>
                <w:kern w:val="2"/>
                <w:sz w:val="21"/>
                <w:szCs w:val="24"/>
                <w:lang w:val="en-US" w:eastAsia="zh-CN" w:bidi="ar"/>
              </w:rPr>
              <w:t>）在保修期内，如果原厂方鉴定设备因为人为损坏，厂方须出具具有法定权威性第三方检测证明，否则一律视为保修范围内容处理。</w:t>
            </w:r>
          </w:p>
          <w:p w14:paraId="3617E987">
            <w:pPr>
              <w:keepNext w:val="0"/>
              <w:keepLines w:val="0"/>
              <w:widowControl/>
              <w:suppressLineNumbers w:val="0"/>
              <w:adjustRightInd w:val="0"/>
              <w:snapToGrid w:val="0"/>
              <w:spacing w:before="0" w:beforeAutospacing="0" w:after="0" w:afterAutospacing="0" w:line="360" w:lineRule="auto"/>
              <w:ind w:left="0" w:right="0"/>
              <w:jc w:val="both"/>
              <w:rPr>
                <w:rFonts w:hint="default" w:hAnsi="宋体" w:cs="宋体"/>
                <w:bCs/>
                <w:szCs w:val="20"/>
                <w:lang w:val="en-US"/>
              </w:rPr>
            </w:pPr>
            <w:r>
              <w:rPr>
                <w:rFonts w:hint="eastAsia" w:ascii="Times New Roman" w:hAnsi="宋体" w:eastAsia="宋体" w:cs="宋体"/>
                <w:bCs/>
                <w:kern w:val="2"/>
                <w:sz w:val="21"/>
                <w:szCs w:val="24"/>
                <w:lang w:val="en-US" w:eastAsia="zh-CN" w:bidi="ar"/>
              </w:rPr>
              <w:t>（</w:t>
            </w:r>
            <w:r>
              <w:rPr>
                <w:rFonts w:hint="default" w:ascii="Times New Roman" w:hAnsi="宋体" w:eastAsia="宋体" w:cs="宋体"/>
                <w:bCs/>
                <w:kern w:val="2"/>
                <w:sz w:val="21"/>
                <w:szCs w:val="24"/>
                <w:lang w:val="en-US" w:eastAsia="zh-CN" w:bidi="ar"/>
              </w:rPr>
              <w:t>4</w:t>
            </w:r>
            <w:r>
              <w:rPr>
                <w:rFonts w:hint="eastAsia" w:ascii="Times New Roman" w:hAnsi="宋体" w:eastAsia="宋体" w:cs="宋体"/>
                <w:bCs/>
                <w:kern w:val="2"/>
                <w:sz w:val="21"/>
                <w:szCs w:val="24"/>
                <w:lang w:val="en-US" w:eastAsia="zh-CN" w:bidi="ar"/>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078B60D5">
            <w:pPr>
              <w:keepNext w:val="0"/>
              <w:keepLines w:val="0"/>
              <w:widowControl/>
              <w:suppressLineNumbers w:val="0"/>
              <w:adjustRightInd w:val="0"/>
              <w:snapToGrid w:val="0"/>
              <w:spacing w:before="0" w:beforeAutospacing="0" w:after="0" w:afterAutospacing="0" w:line="360" w:lineRule="auto"/>
              <w:ind w:left="0" w:right="0"/>
              <w:jc w:val="both"/>
              <w:rPr>
                <w:rFonts w:hint="default" w:hAnsi="宋体" w:cs="宋体"/>
                <w:bCs/>
                <w:snapToGrid w:val="0"/>
                <w:szCs w:val="20"/>
                <w:lang w:val="zh-CN"/>
              </w:rPr>
            </w:pPr>
            <w:r>
              <w:rPr>
                <w:rFonts w:hint="eastAsia" w:ascii="Times New Roman" w:hAnsi="宋体" w:eastAsia="宋体" w:cs="宋体"/>
                <w:bCs/>
                <w:kern w:val="2"/>
                <w:sz w:val="21"/>
                <w:szCs w:val="24"/>
                <w:lang w:val="en-US" w:eastAsia="zh-CN" w:bidi="ar"/>
              </w:rPr>
              <w:t>（</w:t>
            </w:r>
            <w:r>
              <w:rPr>
                <w:rFonts w:hint="default" w:ascii="Times New Roman" w:hAnsi="宋体" w:eastAsia="宋体" w:cs="宋体"/>
                <w:bCs/>
                <w:kern w:val="2"/>
                <w:sz w:val="21"/>
                <w:szCs w:val="24"/>
                <w:lang w:val="en-US" w:eastAsia="zh-CN" w:bidi="ar"/>
              </w:rPr>
              <w:t>5</w:t>
            </w:r>
            <w:r>
              <w:rPr>
                <w:rFonts w:hint="eastAsia" w:ascii="Times New Roman" w:hAnsi="宋体" w:eastAsia="宋体" w:cs="宋体"/>
                <w:bCs/>
                <w:kern w:val="2"/>
                <w:sz w:val="21"/>
                <w:szCs w:val="24"/>
                <w:lang w:val="en-US" w:eastAsia="zh-CN" w:bidi="ar"/>
              </w:rPr>
              <w:t>）终身提供免费的应用咨询及技术帮助。</w:t>
            </w:r>
          </w:p>
        </w:tc>
      </w:tr>
      <w:tr w14:paraId="6708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011E4809">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szCs w:val="20"/>
                <w:lang w:val="zh-CN"/>
              </w:rPr>
            </w:pPr>
            <w:r>
              <w:rPr>
                <w:rFonts w:hint="default" w:ascii="Times New Roman" w:hAnsi="宋体" w:eastAsia="宋体" w:cs="宋体"/>
                <w:bCs/>
                <w:snapToGrid w:val="0"/>
                <w:kern w:val="2"/>
                <w:sz w:val="21"/>
                <w:szCs w:val="24"/>
                <w:lang w:val="zh-CN" w:eastAsia="zh-CN" w:bidi="ar"/>
              </w:rPr>
              <w:t>4</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center"/>
          </w:tcPr>
          <w:p w14:paraId="7292F458">
            <w:pPr>
              <w:keepNext w:val="0"/>
              <w:keepLines w:val="0"/>
              <w:widowControl/>
              <w:suppressLineNumbers w:val="0"/>
              <w:spacing w:before="0" w:beforeAutospacing="0" w:after="0" w:afterAutospacing="0" w:line="360" w:lineRule="auto"/>
              <w:ind w:left="0" w:right="0"/>
              <w:jc w:val="center"/>
              <w:rPr>
                <w:rFonts w:hint="default" w:hAnsi="宋体" w:cs="宋体"/>
                <w:bCs/>
                <w:snapToGrid w:val="0"/>
                <w:szCs w:val="20"/>
                <w:lang w:val="zh-CN"/>
              </w:rPr>
            </w:pPr>
            <w:r>
              <w:rPr>
                <w:rFonts w:hint="eastAsia" w:ascii="Times New Roman" w:hAnsi="宋体" w:eastAsia="宋体" w:cs="宋体"/>
                <w:bCs/>
                <w:kern w:val="2"/>
                <w:sz w:val="21"/>
                <w:szCs w:val="24"/>
                <w:lang w:val="en-US" w:eastAsia="zh-CN" w:bidi="ar"/>
              </w:rPr>
              <w:t>培训</w:t>
            </w:r>
          </w:p>
        </w:tc>
        <w:tc>
          <w:tcPr>
            <w:tcW w:w="3283" w:type="pct"/>
            <w:tcBorders>
              <w:top w:val="single" w:color="auto" w:sz="4" w:space="0"/>
              <w:left w:val="single" w:color="auto" w:sz="4" w:space="0"/>
              <w:bottom w:val="single" w:color="auto" w:sz="4" w:space="0"/>
              <w:right w:val="single" w:color="auto" w:sz="4" w:space="0"/>
            </w:tcBorders>
            <w:shd w:val="clear" w:color="auto" w:fill="auto"/>
            <w:vAlign w:val="center"/>
          </w:tcPr>
          <w:p w14:paraId="35E02F15">
            <w:pPr>
              <w:keepNext w:val="0"/>
              <w:keepLines w:val="0"/>
              <w:widowControl/>
              <w:suppressLineNumbers w:val="0"/>
              <w:spacing w:before="0" w:beforeAutospacing="0" w:after="0" w:afterAutospacing="0" w:line="360" w:lineRule="auto"/>
              <w:ind w:left="0" w:right="0"/>
              <w:jc w:val="both"/>
              <w:rPr>
                <w:rFonts w:hint="default" w:hAnsi="宋体" w:cs="宋体"/>
                <w:bCs/>
                <w:snapToGrid w:val="0"/>
                <w:szCs w:val="20"/>
                <w:lang w:val="zh-CN"/>
              </w:rPr>
            </w:pPr>
            <w:r>
              <w:rPr>
                <w:rFonts w:hint="eastAsia" w:ascii="Times New Roman" w:hAnsi="宋体" w:eastAsia="宋体" w:cs="宋体"/>
                <w:bCs/>
                <w:kern w:val="2"/>
                <w:sz w:val="21"/>
                <w:szCs w:val="24"/>
                <w:lang w:val="en-US" w:eastAsia="zh-CN" w:bidi="ar"/>
              </w:rPr>
              <w:t>负责对采购人、最终用户的操作、维修人员在项目所在地进行业务培训，请投标人自报可以提供业务培训的人数及天数，并应达到能熟练操作并能排除常见故障的标准；</w:t>
            </w:r>
          </w:p>
        </w:tc>
      </w:tr>
      <w:tr w14:paraId="17E5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6A05E689">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szCs w:val="20"/>
                <w:lang w:val="zh-CN"/>
              </w:rPr>
            </w:pPr>
            <w:r>
              <w:rPr>
                <w:rFonts w:hint="default" w:ascii="Times New Roman" w:hAnsi="宋体" w:eastAsia="宋体" w:cs="宋体"/>
                <w:bCs/>
                <w:snapToGrid w:val="0"/>
                <w:kern w:val="2"/>
                <w:sz w:val="21"/>
                <w:szCs w:val="24"/>
                <w:lang w:val="zh-CN" w:eastAsia="zh-CN" w:bidi="ar"/>
              </w:rPr>
              <w:t>5</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center"/>
          </w:tcPr>
          <w:p w14:paraId="2398C52C">
            <w:pPr>
              <w:keepNext w:val="0"/>
              <w:keepLines w:val="0"/>
              <w:widowControl/>
              <w:suppressLineNumbers w:val="0"/>
              <w:spacing w:before="0" w:beforeAutospacing="0" w:after="0" w:afterAutospacing="0" w:line="360" w:lineRule="auto"/>
              <w:ind w:left="0" w:right="0"/>
              <w:jc w:val="center"/>
              <w:rPr>
                <w:rFonts w:hint="default" w:hAnsi="宋体" w:cs="宋体"/>
                <w:bCs/>
                <w:snapToGrid w:val="0"/>
                <w:szCs w:val="20"/>
                <w:lang w:val="zh-CN"/>
              </w:rPr>
            </w:pPr>
            <w:r>
              <w:rPr>
                <w:rFonts w:hint="eastAsia" w:ascii="Times New Roman" w:hAnsi="宋体" w:eastAsia="宋体" w:cs="宋体"/>
                <w:bCs/>
                <w:kern w:val="2"/>
                <w:sz w:val="21"/>
                <w:szCs w:val="24"/>
                <w:lang w:val="en-US" w:eastAsia="zh-CN" w:bidi="ar"/>
              </w:rPr>
              <w:t>验收标准</w:t>
            </w:r>
          </w:p>
        </w:tc>
        <w:tc>
          <w:tcPr>
            <w:tcW w:w="3283" w:type="pct"/>
            <w:tcBorders>
              <w:top w:val="single" w:color="auto" w:sz="4" w:space="0"/>
              <w:left w:val="single" w:color="auto" w:sz="4" w:space="0"/>
              <w:bottom w:val="single" w:color="auto" w:sz="4" w:space="0"/>
              <w:right w:val="single" w:color="auto" w:sz="4" w:space="0"/>
            </w:tcBorders>
            <w:shd w:val="clear" w:color="auto" w:fill="auto"/>
            <w:vAlign w:val="top"/>
          </w:tcPr>
          <w:p w14:paraId="18DC8E8A">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Cs/>
                <w:szCs w:val="20"/>
                <w:lang w:val="en-US"/>
              </w:rPr>
            </w:pPr>
            <w:r>
              <w:rPr>
                <w:rFonts w:hint="default" w:ascii="Times New Roman" w:hAnsi="宋体" w:eastAsia="宋体" w:cs="宋体"/>
                <w:bCs/>
                <w:kern w:val="2"/>
                <w:sz w:val="21"/>
                <w:szCs w:val="24"/>
                <w:lang w:val="en-US" w:eastAsia="zh-CN" w:bidi="ar"/>
              </w:rPr>
              <w:t>1.</w:t>
            </w:r>
            <w:r>
              <w:rPr>
                <w:rFonts w:hint="eastAsia" w:ascii="Times New Roman" w:hAnsi="宋体" w:eastAsia="宋体" w:cs="宋体"/>
                <w:bCs/>
                <w:kern w:val="2"/>
                <w:sz w:val="21"/>
                <w:szCs w:val="24"/>
                <w:lang w:val="en-US" w:eastAsia="zh-CN" w:bidi="ar"/>
              </w:rPr>
              <w:t>招标文件技术规格书中明确的标准和技术要求；</w:t>
            </w:r>
          </w:p>
          <w:p w14:paraId="6CBF077F">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Cs/>
                <w:szCs w:val="20"/>
                <w:lang w:val="en-US"/>
              </w:rPr>
            </w:pPr>
            <w:r>
              <w:rPr>
                <w:rFonts w:hint="default" w:ascii="Times New Roman" w:hAnsi="宋体" w:eastAsia="宋体" w:cs="宋体"/>
                <w:bCs/>
                <w:kern w:val="2"/>
                <w:sz w:val="21"/>
                <w:szCs w:val="24"/>
                <w:lang w:val="en-US" w:eastAsia="zh-CN" w:bidi="ar"/>
              </w:rPr>
              <w:t>2.</w:t>
            </w:r>
            <w:r>
              <w:rPr>
                <w:rFonts w:hint="eastAsia" w:ascii="Times New Roman" w:hAnsi="宋体" w:eastAsia="宋体" w:cs="宋体"/>
                <w:bCs/>
                <w:kern w:val="2"/>
                <w:sz w:val="21"/>
                <w:szCs w:val="24"/>
                <w:lang w:val="en-US" w:eastAsia="zh-CN" w:bidi="ar"/>
              </w:rPr>
              <w:t>与合同货物有关的最新版本的中华人民共和国国家</w:t>
            </w:r>
            <w:r>
              <w:rPr>
                <w:rFonts w:hint="default" w:ascii="Times New Roman" w:hAnsi="宋体" w:eastAsia="宋体" w:cs="宋体"/>
                <w:bCs/>
                <w:kern w:val="2"/>
                <w:sz w:val="21"/>
                <w:szCs w:val="24"/>
                <w:lang w:val="en-US" w:eastAsia="zh-CN" w:bidi="ar"/>
              </w:rPr>
              <w:t>/</w:t>
            </w:r>
            <w:r>
              <w:rPr>
                <w:rFonts w:hint="eastAsia" w:ascii="Times New Roman" w:hAnsi="宋体" w:eastAsia="宋体" w:cs="宋体"/>
                <w:bCs/>
                <w:kern w:val="2"/>
                <w:sz w:val="21"/>
                <w:szCs w:val="24"/>
                <w:lang w:val="en-US" w:eastAsia="zh-CN" w:bidi="ar"/>
              </w:rPr>
              <w:t>国际标准和部颁标准；</w:t>
            </w:r>
          </w:p>
          <w:p w14:paraId="581E139B">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Cs/>
                <w:szCs w:val="20"/>
                <w:lang w:val="en-US"/>
              </w:rPr>
            </w:pPr>
            <w:r>
              <w:rPr>
                <w:rFonts w:hint="default" w:ascii="Times New Roman" w:hAnsi="宋体" w:eastAsia="宋体" w:cs="宋体"/>
                <w:bCs/>
                <w:kern w:val="2"/>
                <w:sz w:val="21"/>
                <w:szCs w:val="24"/>
                <w:lang w:val="en-US" w:eastAsia="zh-CN" w:bidi="ar"/>
              </w:rPr>
              <w:t>3.</w:t>
            </w:r>
            <w:r>
              <w:rPr>
                <w:rFonts w:hint="eastAsia" w:ascii="Times New Roman" w:hAnsi="宋体" w:eastAsia="宋体" w:cs="宋体"/>
                <w:bCs/>
                <w:kern w:val="2"/>
                <w:sz w:val="21"/>
                <w:szCs w:val="24"/>
                <w:lang w:val="en-US" w:eastAsia="zh-CN" w:bidi="ar"/>
              </w:rPr>
              <w:t>货物合格证书技术资料中的精度、质量要求；</w:t>
            </w:r>
          </w:p>
          <w:p w14:paraId="4C9D2D24">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Cs/>
                <w:szCs w:val="20"/>
                <w:lang w:val="en-US"/>
              </w:rPr>
            </w:pPr>
            <w:r>
              <w:rPr>
                <w:rFonts w:hint="default" w:ascii="Times New Roman" w:hAnsi="宋体" w:eastAsia="宋体" w:cs="宋体"/>
                <w:bCs/>
                <w:kern w:val="2"/>
                <w:sz w:val="21"/>
                <w:szCs w:val="24"/>
                <w:lang w:val="en-US" w:eastAsia="zh-CN" w:bidi="ar"/>
              </w:rPr>
              <w:t>4.</w:t>
            </w:r>
            <w:r>
              <w:rPr>
                <w:rFonts w:hint="eastAsia" w:ascii="Times New Roman" w:hAnsi="宋体" w:eastAsia="宋体" w:cs="宋体"/>
                <w:bCs/>
                <w:kern w:val="2"/>
                <w:sz w:val="21"/>
                <w:szCs w:val="24"/>
                <w:lang w:val="en-US" w:eastAsia="zh-CN" w:bidi="ar"/>
              </w:rPr>
              <w:t>投标人在澄清投标文件时作出的承诺，经买方确认后，将作为对货物的验收依据之一；</w:t>
            </w:r>
          </w:p>
          <w:p w14:paraId="079E1977">
            <w:pPr>
              <w:keepNext w:val="0"/>
              <w:keepLines w:val="0"/>
              <w:widowControl/>
              <w:suppressLineNumbers w:val="0"/>
              <w:spacing w:before="0" w:beforeAutospacing="0" w:after="0" w:afterAutospacing="0" w:line="360" w:lineRule="auto"/>
              <w:ind w:left="0" w:right="0"/>
              <w:jc w:val="left"/>
              <w:rPr>
                <w:rFonts w:hint="default" w:hAnsi="宋体" w:cs="宋体"/>
                <w:bCs/>
                <w:snapToGrid w:val="0"/>
                <w:szCs w:val="20"/>
                <w:lang w:val="zh-CN"/>
              </w:rPr>
            </w:pPr>
            <w:r>
              <w:rPr>
                <w:rFonts w:hint="default" w:ascii="Times New Roman" w:hAnsi="宋体" w:eastAsia="宋体" w:cs="宋体"/>
                <w:bCs/>
                <w:kern w:val="2"/>
                <w:sz w:val="21"/>
                <w:szCs w:val="24"/>
                <w:lang w:val="en-US" w:eastAsia="zh-CN" w:bidi="ar"/>
              </w:rPr>
              <w:t>5.</w:t>
            </w:r>
            <w:r>
              <w:rPr>
                <w:rFonts w:hint="eastAsia" w:ascii="Times New Roman" w:hAnsi="宋体" w:eastAsia="宋体" w:cs="宋体"/>
                <w:bCs/>
                <w:kern w:val="2"/>
                <w:sz w:val="21"/>
                <w:szCs w:val="24"/>
                <w:lang w:val="en-US" w:eastAsia="zh-CN" w:bidi="ar"/>
              </w:rPr>
              <w:t>双方签订的合同技术附件所规定的条款。</w:t>
            </w:r>
          </w:p>
        </w:tc>
      </w:tr>
      <w:tr w14:paraId="6CC2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5310A885">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szCs w:val="20"/>
                <w:lang w:val="zh-CN"/>
              </w:rPr>
            </w:pPr>
            <w:r>
              <w:rPr>
                <w:rFonts w:hint="default" w:ascii="Times New Roman" w:hAnsi="宋体" w:eastAsia="宋体" w:cs="宋体"/>
                <w:bCs/>
                <w:snapToGrid w:val="0"/>
                <w:kern w:val="2"/>
                <w:sz w:val="21"/>
                <w:szCs w:val="24"/>
                <w:lang w:val="zh-CN" w:eastAsia="zh-CN" w:bidi="ar"/>
              </w:rPr>
              <w:t>6</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center"/>
          </w:tcPr>
          <w:p w14:paraId="0EAA0D07">
            <w:pPr>
              <w:keepNext w:val="0"/>
              <w:keepLines w:val="0"/>
              <w:widowControl/>
              <w:suppressLineNumbers w:val="0"/>
              <w:spacing w:before="0" w:beforeAutospacing="0" w:after="0" w:afterAutospacing="0" w:line="360" w:lineRule="auto"/>
              <w:ind w:left="0" w:right="0"/>
              <w:jc w:val="center"/>
              <w:rPr>
                <w:rFonts w:hint="default" w:hAnsi="宋体" w:cs="宋体"/>
                <w:bCs/>
                <w:snapToGrid w:val="0"/>
                <w:szCs w:val="20"/>
                <w:lang w:val="zh-CN"/>
              </w:rPr>
            </w:pPr>
            <w:r>
              <w:rPr>
                <w:rFonts w:hint="eastAsia" w:ascii="Times New Roman" w:hAnsi="宋体" w:eastAsia="宋体" w:cs="宋体"/>
                <w:bCs/>
                <w:kern w:val="2"/>
                <w:sz w:val="21"/>
                <w:szCs w:val="24"/>
                <w:lang w:val="en-US" w:eastAsia="zh-CN" w:bidi="ar"/>
              </w:rPr>
              <w:t>交货地点</w:t>
            </w:r>
          </w:p>
        </w:tc>
        <w:tc>
          <w:tcPr>
            <w:tcW w:w="3283" w:type="pct"/>
            <w:tcBorders>
              <w:top w:val="single" w:color="auto" w:sz="4" w:space="0"/>
              <w:left w:val="single" w:color="auto" w:sz="4" w:space="0"/>
              <w:bottom w:val="single" w:color="auto" w:sz="4" w:space="0"/>
              <w:right w:val="single" w:color="auto" w:sz="4" w:space="0"/>
            </w:tcBorders>
            <w:shd w:val="clear" w:color="auto" w:fill="auto"/>
            <w:vAlign w:val="center"/>
          </w:tcPr>
          <w:p w14:paraId="03FA1884">
            <w:pPr>
              <w:keepNext w:val="0"/>
              <w:keepLines w:val="0"/>
              <w:widowControl/>
              <w:suppressLineNumbers w:val="0"/>
              <w:spacing w:before="0" w:beforeAutospacing="0" w:after="0" w:afterAutospacing="0" w:line="360" w:lineRule="auto"/>
              <w:ind w:left="0" w:right="0"/>
              <w:jc w:val="left"/>
              <w:rPr>
                <w:rFonts w:hint="default" w:hAnsi="宋体" w:cs="宋体"/>
                <w:bCs/>
                <w:snapToGrid w:val="0"/>
                <w:szCs w:val="20"/>
                <w:lang w:val="zh-CN"/>
              </w:rPr>
            </w:pPr>
            <w:r>
              <w:rPr>
                <w:rFonts w:hint="eastAsia" w:ascii="Times New Roman" w:hAnsi="宋体" w:eastAsia="宋体" w:cs="宋体"/>
                <w:bCs/>
                <w:kern w:val="2"/>
                <w:sz w:val="21"/>
                <w:szCs w:val="24"/>
                <w:lang w:val="en-US" w:eastAsia="zh-CN" w:bidi="ar"/>
              </w:rPr>
              <w:t>采购人指定地点</w:t>
            </w:r>
          </w:p>
        </w:tc>
      </w:tr>
      <w:tr w14:paraId="561F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43D58B79">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szCs w:val="20"/>
                <w:lang w:val="en-US"/>
              </w:rPr>
            </w:pPr>
            <w:r>
              <w:rPr>
                <w:rFonts w:hint="default" w:ascii="Times New Roman" w:hAnsi="宋体" w:eastAsia="宋体" w:cs="宋体"/>
                <w:bCs/>
                <w:snapToGrid w:val="0"/>
                <w:kern w:val="2"/>
                <w:sz w:val="21"/>
                <w:szCs w:val="24"/>
                <w:lang w:val="zh-CN" w:eastAsia="zh-CN" w:bidi="ar"/>
              </w:rPr>
              <w:t>7</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center"/>
          </w:tcPr>
          <w:p w14:paraId="72CD0E91">
            <w:pPr>
              <w:keepNext w:val="0"/>
              <w:keepLines w:val="0"/>
              <w:widowControl/>
              <w:suppressLineNumbers w:val="0"/>
              <w:spacing w:before="0" w:beforeAutospacing="0" w:after="0" w:afterAutospacing="0" w:line="360" w:lineRule="auto"/>
              <w:ind w:left="0" w:right="0"/>
              <w:jc w:val="center"/>
              <w:rPr>
                <w:rFonts w:hint="default" w:hAnsi="宋体" w:cs="宋体"/>
                <w:bCs/>
                <w:szCs w:val="20"/>
                <w:lang w:val="en-US"/>
              </w:rPr>
            </w:pPr>
            <w:r>
              <w:rPr>
                <w:rFonts w:hint="eastAsia" w:ascii="Times New Roman" w:hAnsi="宋体" w:eastAsia="宋体" w:cs="宋体"/>
                <w:bCs/>
                <w:kern w:val="2"/>
                <w:sz w:val="21"/>
                <w:szCs w:val="24"/>
                <w:lang w:val="en-US" w:eastAsia="zh-CN" w:bidi="ar"/>
              </w:rPr>
              <w:t>设备安装调试</w:t>
            </w:r>
          </w:p>
        </w:tc>
        <w:tc>
          <w:tcPr>
            <w:tcW w:w="3283" w:type="pct"/>
            <w:tcBorders>
              <w:top w:val="single" w:color="auto" w:sz="4" w:space="0"/>
              <w:left w:val="single" w:color="auto" w:sz="4" w:space="0"/>
              <w:bottom w:val="single" w:color="auto" w:sz="4" w:space="0"/>
              <w:right w:val="single" w:color="auto" w:sz="4" w:space="0"/>
            </w:tcBorders>
            <w:shd w:val="clear" w:color="auto" w:fill="auto"/>
            <w:vAlign w:val="center"/>
          </w:tcPr>
          <w:p w14:paraId="5D967AD0">
            <w:pPr>
              <w:keepNext w:val="0"/>
              <w:keepLines w:val="0"/>
              <w:widowControl/>
              <w:suppressLineNumbers w:val="0"/>
              <w:spacing w:before="0" w:beforeAutospacing="0" w:after="0" w:afterAutospacing="0" w:line="360" w:lineRule="auto"/>
              <w:ind w:left="0" w:right="0"/>
              <w:jc w:val="left"/>
              <w:rPr>
                <w:rFonts w:hint="default"/>
                <w:bCs/>
                <w:szCs w:val="20"/>
                <w:lang w:val="en-US"/>
              </w:rPr>
            </w:pPr>
            <w:r>
              <w:rPr>
                <w:rFonts w:hint="eastAsia" w:ascii="Times New Roman" w:hAnsi="宋体" w:eastAsia="宋体" w:cs="宋体"/>
                <w:bCs/>
                <w:kern w:val="2"/>
                <w:sz w:val="21"/>
                <w:szCs w:val="24"/>
                <w:lang w:val="en-US" w:eastAsia="zh-CN" w:bidi="ar"/>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5362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op w:val="single" w:color="auto" w:sz="4" w:space="0"/>
              <w:left w:val="single" w:color="auto" w:sz="4" w:space="0"/>
              <w:bottom w:val="single" w:color="auto" w:sz="4" w:space="0"/>
              <w:right w:val="single" w:color="auto" w:sz="4" w:space="0"/>
            </w:tcBorders>
            <w:shd w:val="clear" w:color="auto" w:fill="auto"/>
            <w:vAlign w:val="center"/>
          </w:tcPr>
          <w:p w14:paraId="4A56E097">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Cs/>
                <w:snapToGrid w:val="0"/>
                <w:color w:val="000000"/>
                <w:szCs w:val="20"/>
                <w:lang w:val="en-US"/>
              </w:rPr>
            </w:pPr>
            <w:r>
              <w:rPr>
                <w:rFonts w:hint="default" w:ascii="Times New Roman" w:hAnsi="宋体" w:eastAsia="宋体" w:cs="宋体"/>
                <w:bCs/>
                <w:snapToGrid w:val="0"/>
                <w:color w:val="000000"/>
                <w:kern w:val="2"/>
                <w:sz w:val="21"/>
                <w:szCs w:val="24"/>
                <w:lang w:val="en-US" w:eastAsia="zh-CN" w:bidi="ar"/>
              </w:rPr>
              <w:t>8</w:t>
            </w:r>
          </w:p>
        </w:tc>
        <w:tc>
          <w:tcPr>
            <w:tcW w:w="1238" w:type="pct"/>
            <w:tcBorders>
              <w:top w:val="single" w:color="auto" w:sz="4" w:space="0"/>
              <w:left w:val="single" w:color="auto" w:sz="4" w:space="0"/>
              <w:bottom w:val="single" w:color="auto" w:sz="4" w:space="0"/>
              <w:right w:val="single" w:color="auto" w:sz="4" w:space="0"/>
            </w:tcBorders>
            <w:shd w:val="clear" w:color="auto" w:fill="auto"/>
            <w:vAlign w:val="center"/>
          </w:tcPr>
          <w:p w14:paraId="660A672C">
            <w:pPr>
              <w:keepNext w:val="0"/>
              <w:keepLines w:val="0"/>
              <w:widowControl/>
              <w:suppressLineNumbers w:val="0"/>
              <w:spacing w:before="0" w:beforeAutospacing="0" w:after="0" w:afterAutospacing="0" w:line="360" w:lineRule="auto"/>
              <w:ind w:left="0" w:right="0"/>
              <w:jc w:val="center"/>
              <w:rPr>
                <w:rFonts w:hint="default" w:hAnsi="宋体" w:cs="宋体"/>
                <w:bCs/>
                <w:snapToGrid w:val="0"/>
                <w:color w:val="000000"/>
                <w:szCs w:val="20"/>
                <w:lang w:val="zh-CN"/>
              </w:rPr>
            </w:pPr>
            <w:r>
              <w:rPr>
                <w:rFonts w:hint="eastAsia" w:ascii="Times New Roman" w:hAnsi="宋体" w:eastAsia="宋体" w:cs="宋体"/>
                <w:bCs/>
                <w:color w:val="000000"/>
                <w:kern w:val="2"/>
                <w:sz w:val="21"/>
                <w:szCs w:val="24"/>
                <w:lang w:val="en-US" w:eastAsia="zh-CN" w:bidi="ar"/>
              </w:rPr>
              <w:t>付款方式</w:t>
            </w:r>
          </w:p>
        </w:tc>
        <w:tc>
          <w:tcPr>
            <w:tcW w:w="3283" w:type="pct"/>
            <w:tcBorders>
              <w:top w:val="single" w:color="auto" w:sz="4" w:space="0"/>
              <w:left w:val="single" w:color="auto" w:sz="4" w:space="0"/>
              <w:bottom w:val="single" w:color="auto" w:sz="4" w:space="0"/>
              <w:right w:val="single" w:color="auto" w:sz="4" w:space="0"/>
            </w:tcBorders>
            <w:shd w:val="clear" w:color="auto" w:fill="auto"/>
            <w:vAlign w:val="top"/>
          </w:tcPr>
          <w:p w14:paraId="3757CC65">
            <w:pPr>
              <w:keepNext w:val="0"/>
              <w:keepLines w:val="0"/>
              <w:widowControl/>
              <w:suppressLineNumbers w:val="0"/>
              <w:spacing w:before="0" w:beforeAutospacing="0" w:after="0" w:afterAutospacing="0" w:line="360" w:lineRule="auto"/>
              <w:ind w:left="0" w:right="0"/>
              <w:jc w:val="left"/>
              <w:rPr>
                <w:rFonts w:hint="default" w:hAnsi="宋体" w:cs="宋体"/>
                <w:bCs/>
                <w:color w:val="000000"/>
                <w:szCs w:val="20"/>
                <w:highlight w:val="yellow"/>
                <w:lang w:val="en-US"/>
              </w:rPr>
            </w:pPr>
            <w:r>
              <w:rPr>
                <w:rFonts w:hint="eastAsia" w:ascii="Times New Roman" w:hAnsi="宋体" w:eastAsia="宋体" w:cs="宋体"/>
                <w:bCs/>
                <w:color w:val="000000"/>
                <w:kern w:val="2"/>
                <w:sz w:val="21"/>
                <w:szCs w:val="24"/>
                <w:lang w:val="en-US" w:eastAsia="zh-CN" w:bidi="ar"/>
              </w:rPr>
              <w:t>乙方开具符合国家规定的发票，到货安装调试经甲方验收合格并提供原厂质保函后按甲方正常流程付</w:t>
            </w:r>
            <w:r>
              <w:rPr>
                <w:rFonts w:hint="default" w:ascii="Times New Roman" w:hAnsi="宋体" w:eastAsia="宋体" w:cs="宋体"/>
                <w:bCs/>
                <w:color w:val="000000"/>
                <w:kern w:val="2"/>
                <w:sz w:val="21"/>
                <w:szCs w:val="24"/>
                <w:lang w:val="en-US" w:eastAsia="zh-CN" w:bidi="ar"/>
              </w:rPr>
              <w:t>90%</w:t>
            </w:r>
            <w:r>
              <w:rPr>
                <w:rFonts w:hint="eastAsia" w:ascii="Times New Roman" w:hAnsi="宋体" w:eastAsia="宋体" w:cs="宋体"/>
                <w:bCs/>
                <w:color w:val="000000"/>
                <w:kern w:val="2"/>
                <w:sz w:val="21"/>
                <w:szCs w:val="24"/>
                <w:lang w:val="en-US" w:eastAsia="zh-CN" w:bidi="ar"/>
              </w:rPr>
              <w:t>，正常使用一年后无息支付</w:t>
            </w:r>
            <w:r>
              <w:rPr>
                <w:rFonts w:hint="default" w:ascii="Times New Roman" w:hAnsi="宋体" w:eastAsia="宋体" w:cs="宋体"/>
                <w:bCs/>
                <w:color w:val="000000"/>
                <w:kern w:val="2"/>
                <w:sz w:val="21"/>
                <w:szCs w:val="24"/>
                <w:lang w:val="en-US" w:eastAsia="zh-CN" w:bidi="ar"/>
              </w:rPr>
              <w:t>10%</w:t>
            </w:r>
            <w:r>
              <w:rPr>
                <w:rFonts w:hint="eastAsia" w:ascii="Times New Roman" w:hAnsi="宋体" w:eastAsia="宋体" w:cs="宋体"/>
                <w:bCs/>
                <w:color w:val="000000"/>
                <w:kern w:val="2"/>
                <w:sz w:val="21"/>
                <w:szCs w:val="24"/>
                <w:lang w:val="en-US" w:eastAsia="zh-CN" w:bidi="ar"/>
              </w:rPr>
              <w:t>。</w:t>
            </w:r>
          </w:p>
        </w:tc>
      </w:tr>
    </w:tbl>
    <w:p w14:paraId="6130667F">
      <w:pPr>
        <w:keepNext w:val="0"/>
        <w:keepLines w:val="0"/>
        <w:widowControl w:val="0"/>
        <w:suppressLineNumbers w:val="0"/>
        <w:autoSpaceDE w:val="0"/>
        <w:autoSpaceDN w:val="0"/>
        <w:adjustRightInd w:val="0"/>
        <w:snapToGrid w:val="0"/>
        <w:spacing w:before="120" w:beforeLines="50" w:beforeAutospacing="0" w:after="120" w:afterLines="50" w:afterAutospacing="0" w:line="360" w:lineRule="auto"/>
        <w:ind w:left="0" w:right="0" w:firstLine="210" w:firstLineChars="100"/>
        <w:jc w:val="left"/>
        <w:rPr>
          <w:rFonts w:hAnsi="宋体" w:cs="宋体"/>
          <w:snapToGrid w:val="0"/>
          <w:szCs w:val="21"/>
          <w:u w:val="single"/>
          <w:lang w:val="zh-CN" w:eastAsia="zh-CN"/>
        </w:rPr>
      </w:pPr>
      <w:r>
        <w:rPr>
          <w:rFonts w:hint="default" w:ascii="Times New Roman" w:hAnsi="宋体" w:eastAsia="宋体" w:cs="宋体"/>
          <w:snapToGrid w:val="0"/>
          <w:kern w:val="2"/>
          <w:sz w:val="21"/>
          <w:szCs w:val="21"/>
          <w:u w:val="single"/>
          <w:lang w:val="en-US" w:eastAsia="zh-CN" w:bidi="ar"/>
        </w:rPr>
        <w:t>*</w:t>
      </w:r>
      <w:r>
        <w:rPr>
          <w:rFonts w:hint="eastAsia" w:ascii="Times New Roman" w:hAnsi="宋体" w:eastAsia="宋体" w:cs="宋体"/>
          <w:snapToGrid w:val="0"/>
          <w:kern w:val="2"/>
          <w:sz w:val="21"/>
          <w:szCs w:val="21"/>
          <w:u w:val="single"/>
          <w:lang w:val="zh-CN" w:eastAsia="zh-CN" w:bidi="ar"/>
        </w:rPr>
        <w:t>注</w:t>
      </w:r>
      <w:r>
        <w:rPr>
          <w:rFonts w:hint="default" w:ascii="Times New Roman" w:hAnsi="宋体" w:eastAsia="宋体" w:cs="宋体"/>
          <w:snapToGrid w:val="0"/>
          <w:kern w:val="2"/>
          <w:sz w:val="21"/>
          <w:szCs w:val="21"/>
          <w:u w:val="single"/>
          <w:lang w:val="zh-CN" w:eastAsia="zh-CN" w:bidi="ar"/>
        </w:rPr>
        <w:t xml:space="preserve">: </w:t>
      </w:r>
      <w:r>
        <w:rPr>
          <w:rFonts w:hint="eastAsia" w:ascii="Times New Roman" w:hAnsi="宋体" w:eastAsia="宋体" w:cs="宋体"/>
          <w:snapToGrid w:val="0"/>
          <w:kern w:val="2"/>
          <w:sz w:val="21"/>
          <w:szCs w:val="21"/>
          <w:u w:val="single"/>
          <w:lang w:val="zh-CN" w:eastAsia="zh-CN" w:bidi="ar"/>
        </w:rPr>
        <w:t>商务需求中所有指标必须全部响应，任意一项不满足将判定为无效投标</w:t>
      </w:r>
    </w:p>
    <w:p w14:paraId="4E758D34">
      <w:pPr>
        <w:widowControl/>
        <w:ind w:firstLine="643" w:firstLineChars="200"/>
        <w:jc w:val="both"/>
        <w:rPr>
          <w:rFonts w:hint="default" w:ascii="宋体" w:hAnsi="宋体" w:eastAsia="宋体" w:cs="宋体"/>
          <w:sz w:val="32"/>
          <w:szCs w:val="32"/>
          <w:lang w:val="en-US" w:eastAsia="zh-CN"/>
        </w:rPr>
      </w:pPr>
      <w:r>
        <w:rPr>
          <w:rFonts w:hint="eastAsia" w:ascii="宋体" w:hAnsi="宋体" w:eastAsia="宋体" w:cs="宋体"/>
          <w:b/>
          <w:bCs/>
          <w:sz w:val="32"/>
          <w:szCs w:val="32"/>
          <w:lang w:eastAsia="zh-CN" w:bidi="ar"/>
        </w:rPr>
        <w:t>包三：</w:t>
      </w:r>
      <w:r>
        <w:rPr>
          <w:rFonts w:hint="eastAsia"/>
          <w:b/>
          <w:sz w:val="32"/>
          <w:szCs w:val="32"/>
          <w:lang w:val="en-US" w:eastAsia="zh-CN"/>
        </w:rPr>
        <w:t>重症医学科气囊压力监测仪1台</w:t>
      </w:r>
      <w:r>
        <w:rPr>
          <w:rFonts w:hint="eastAsia" w:eastAsia="宋体"/>
          <w:b/>
          <w:sz w:val="32"/>
          <w:szCs w:val="32"/>
          <w:lang w:val="en-US" w:eastAsia="zh-CN"/>
        </w:rPr>
        <w:t>，总预算3.5万元</w:t>
      </w:r>
    </w:p>
    <w:p w14:paraId="20591A91">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63B15359">
      <w:pPr>
        <w:pStyle w:val="4"/>
        <w:keepNext w:val="0"/>
        <w:keepLines w:val="0"/>
        <w:pageBreakBefore w:val="0"/>
        <w:widowControl w:val="0"/>
        <w:kinsoku/>
        <w:wordWrap/>
        <w:overflowPunct/>
        <w:topLinePunct w:val="0"/>
        <w:bidi w:val="0"/>
        <w:snapToGrid/>
        <w:spacing w:line="240" w:lineRule="auto"/>
        <w:ind w:left="0" w:leftChars="0"/>
        <w:textAlignment w:val="auto"/>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一、主要技术参数和要求</w:t>
      </w:r>
    </w:p>
    <w:p w14:paraId="1E850D72">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1.显示功能：LCD屏，实时显示压力，描绘波形图，显示设定信息、电池电量信息、患者ID；</w:t>
      </w:r>
    </w:p>
    <w:p w14:paraId="357FF896">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2.精确压力控制：高精度压力传感模块和微型气泵精确控制压力；</w:t>
      </w:r>
      <w:r>
        <w:rPr>
          <w:rFonts w:hint="eastAsia" w:ascii="宋体" w:hAnsi="宋体" w:eastAsia="宋体" w:cs="宋体"/>
          <w:b w:val="0"/>
          <w:sz w:val="21"/>
          <w:szCs w:val="21"/>
        </w:rPr>
        <w:t>（需提供证明材料）</w:t>
      </w:r>
    </w:p>
    <w:p w14:paraId="522A3EA1">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3.压力保护功能：双重压力保护机制，使用安全；</w:t>
      </w:r>
    </w:p>
    <w:p w14:paraId="018B56D8">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4.压力测量范围：0 - 95 cmH2O；</w:t>
      </w:r>
      <w:r>
        <w:rPr>
          <w:rFonts w:hint="eastAsia" w:ascii="宋体" w:hAnsi="宋体" w:eastAsia="宋体" w:cs="宋体"/>
          <w:b w:val="0"/>
          <w:sz w:val="21"/>
          <w:szCs w:val="21"/>
        </w:rPr>
        <w:t>（需提供证明材料）</w:t>
      </w:r>
    </w:p>
    <w:p w14:paraId="17AA84CA">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5.压力设置范围：0 - 70 cmH2O，最小调节1 cmH2O；</w:t>
      </w:r>
      <w:r>
        <w:rPr>
          <w:rFonts w:hint="eastAsia" w:ascii="宋体" w:hAnsi="宋体" w:eastAsia="宋体" w:cs="宋体"/>
          <w:b w:val="0"/>
          <w:sz w:val="21"/>
          <w:szCs w:val="21"/>
        </w:rPr>
        <w:t>（需提供证明材料）</w:t>
      </w:r>
    </w:p>
    <w:p w14:paraId="7280471B">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6.放气时间：0 - 60s，可调节，最小调节1s；</w:t>
      </w:r>
    </w:p>
    <w:p w14:paraId="7A48A555">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7.监控仪密封性： </w:t>
      </w:r>
      <w:r>
        <w:rPr>
          <w:rFonts w:hint="eastAsia"/>
          <w:lang w:val="en-US" w:eastAsia="zh-CN"/>
        </w:rPr>
        <w:t>≤</w:t>
      </w:r>
      <w:r>
        <w:rPr>
          <w:rFonts w:hint="eastAsia" w:asciiTheme="minorHAnsi" w:hAnsiTheme="minorHAnsi" w:eastAsiaTheme="minorEastAsia" w:cstheme="minorBidi"/>
          <w:kern w:val="2"/>
          <w:sz w:val="21"/>
          <w:szCs w:val="24"/>
          <w:lang w:val="en-US" w:eastAsia="zh-CN" w:bidi="ar-SA"/>
        </w:rPr>
        <w:t>2 cmH2O/min;</w:t>
      </w:r>
    </w:p>
    <w:p w14:paraId="383FB887">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8.运行时噪音：</w:t>
      </w:r>
      <w:r>
        <w:rPr>
          <w:rFonts w:hint="eastAsia"/>
          <w:lang w:val="en-US" w:eastAsia="zh-CN"/>
        </w:rPr>
        <w:t>≤</w:t>
      </w:r>
      <w:r>
        <w:rPr>
          <w:rFonts w:hint="eastAsia" w:asciiTheme="minorHAnsi" w:hAnsiTheme="minorHAnsi" w:eastAsiaTheme="minorEastAsia" w:cstheme="minorBidi"/>
          <w:kern w:val="2"/>
          <w:sz w:val="21"/>
          <w:szCs w:val="24"/>
          <w:lang w:val="en-US" w:eastAsia="zh-CN" w:bidi="ar-SA"/>
        </w:rPr>
        <w:t xml:space="preserve"> 55dB（A）；</w:t>
      </w:r>
    </w:p>
    <w:p w14:paraId="01ED39B9">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9.内部电池供电时间：≥8小时</w:t>
      </w:r>
      <w:r>
        <w:rPr>
          <w:rFonts w:hint="eastAsia" w:cstheme="minorBidi"/>
          <w:kern w:val="2"/>
          <w:sz w:val="21"/>
          <w:szCs w:val="24"/>
          <w:lang w:val="en-US" w:eastAsia="zh-CN" w:bidi="ar-SA"/>
        </w:rPr>
        <w:t>；</w:t>
      </w:r>
      <w:r>
        <w:rPr>
          <w:rFonts w:hint="eastAsia" w:ascii="宋体" w:hAnsi="宋体" w:eastAsia="宋体" w:cs="宋体"/>
          <w:b w:val="0"/>
          <w:sz w:val="21"/>
          <w:szCs w:val="21"/>
        </w:rPr>
        <w:t>（需提供证明材料）</w:t>
      </w:r>
    </w:p>
    <w:p w14:paraId="1AF07C46">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10.连接管路尺寸：≥1.8 m；</w:t>
      </w:r>
    </w:p>
    <w:p w14:paraId="3517AD54">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11.数据存储：配置≥32G存储器，实时存储患者数据，数据可导出；</w:t>
      </w:r>
      <w:r>
        <w:rPr>
          <w:rFonts w:hint="eastAsia" w:ascii="宋体" w:hAnsi="宋体" w:eastAsia="宋体" w:cs="宋体"/>
          <w:b w:val="0"/>
          <w:sz w:val="21"/>
          <w:szCs w:val="21"/>
        </w:rPr>
        <w:t>（需提供证明材料）</w:t>
      </w:r>
    </w:p>
    <w:p w14:paraId="7B7A4BF4">
      <w:pPr>
        <w:jc w:val="left"/>
        <w:rPr>
          <w:rFonts w:hint="eastAsia" w:asciiTheme="minorHAnsi" w:hAnsiTheme="minorHAnsi" w:eastAsiaTheme="minorEastAsia" w:cstheme="minorBidi"/>
          <w:kern w:val="2"/>
          <w:sz w:val="21"/>
          <w:szCs w:val="24"/>
          <w:lang w:val="en-US" w:eastAsia="zh-CN" w:bidi="ar-SA"/>
        </w:rPr>
      </w:pPr>
      <w:r>
        <w:rPr>
          <w:rFonts w:hint="eastAsia"/>
        </w:rPr>
        <w:t>▲</w:t>
      </w:r>
      <w:r>
        <w:rPr>
          <w:rFonts w:hint="eastAsia" w:asciiTheme="minorHAnsi" w:hAnsiTheme="minorHAnsi" w:eastAsiaTheme="minorEastAsia" w:cstheme="minorBidi"/>
          <w:kern w:val="2"/>
          <w:sz w:val="21"/>
          <w:szCs w:val="24"/>
          <w:lang w:val="en-US" w:eastAsia="zh-CN" w:bidi="ar-SA"/>
        </w:rPr>
        <w:t>12.故障诊断：≥3种故障自诊断功能覆盖所有故障；</w:t>
      </w:r>
      <w:r>
        <w:rPr>
          <w:rFonts w:hint="eastAsia" w:ascii="宋体" w:hAnsi="宋体" w:eastAsia="宋体" w:cs="宋体"/>
          <w:b w:val="0"/>
          <w:sz w:val="21"/>
          <w:szCs w:val="21"/>
        </w:rPr>
        <w:t>（需提供证明材料）</w:t>
      </w:r>
    </w:p>
    <w:p w14:paraId="1528F73A">
      <w:pPr>
        <w:jc w:val="left"/>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13.声光报警：有提示和报警两种声光报警功能。</w:t>
      </w:r>
    </w:p>
    <w:p w14:paraId="13D2DE66">
      <w:pPr>
        <w:pStyle w:val="4"/>
        <w:keepNext w:val="0"/>
        <w:keepLines w:val="0"/>
        <w:pageBreakBefore w:val="0"/>
        <w:widowControl w:val="0"/>
        <w:kinsoku/>
        <w:wordWrap/>
        <w:overflowPunct/>
        <w:topLinePunct w:val="0"/>
        <w:bidi w:val="0"/>
        <w:snapToGrid/>
        <w:spacing w:line="240" w:lineRule="auto"/>
        <w:ind w:left="0" w:left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二、配置清单</w:t>
      </w:r>
    </w:p>
    <w:p w14:paraId="2AAC7A77">
      <w:pPr>
        <w:jc w:val="left"/>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1.主机1台</w:t>
      </w:r>
    </w:p>
    <w:p w14:paraId="021FB58E">
      <w:pPr>
        <w:jc w:val="left"/>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2.气囊监测管路2个</w:t>
      </w:r>
    </w:p>
    <w:p w14:paraId="05CF8C89">
      <w:pPr>
        <w:rPr>
          <w:rFonts w:hint="default"/>
          <w:lang w:val="en-US" w:eastAsia="zh-CN"/>
        </w:rPr>
      </w:pPr>
    </w:p>
    <w:p w14:paraId="1BCEEDB2">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418"/>
        <w:gridCol w:w="6411"/>
      </w:tblGrid>
      <w:tr w14:paraId="5C55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2F1D12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6A984E7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410EEA1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037A5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1E9CADD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43D517C0">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112D0A52">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4CC2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232284D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6E06A11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0B07FE90">
            <w:pPr>
              <w:keepNext w:val="0"/>
              <w:keepLines w:val="0"/>
              <w:widowControl/>
              <w:suppressLineNumbers w:val="0"/>
              <w:spacing w:before="0" w:beforeAutospacing="0" w:after="0" w:afterAutospacing="0" w:line="360" w:lineRule="auto"/>
              <w:ind w:left="0" w:right="0"/>
              <w:jc w:val="left"/>
              <w:rPr>
                <w:rFonts w:hint="eastAsia" w:hAnsi="宋体" w:eastAsia="宋体" w:cs="宋体"/>
                <w:b w:val="0"/>
                <w:bCs/>
                <w:snapToGrid w:val="0"/>
                <w:color w:val="000000"/>
                <w:szCs w:val="24"/>
                <w:highlight w:val="none"/>
                <w:lang w:val="en-US" w:eastAsia="zh-CN"/>
              </w:rPr>
            </w:pPr>
            <w:r>
              <w:rPr>
                <w:rFonts w:hint="eastAsia" w:hAnsi="宋体" w:cs="宋体"/>
                <w:b w:val="0"/>
                <w:bCs/>
                <w:szCs w:val="24"/>
                <w:lang w:val="en-US" w:eastAsia="zh-CN"/>
              </w:rPr>
              <w:t>主机</w:t>
            </w:r>
            <w:r>
              <w:rPr>
                <w:rFonts w:hint="eastAsia" w:hAnsi="宋体" w:eastAsia="宋体" w:cs="宋体"/>
                <w:b w:val="0"/>
                <w:bCs/>
                <w:szCs w:val="24"/>
              </w:rPr>
              <w:t>原厂免费质保≥三年</w:t>
            </w:r>
          </w:p>
        </w:tc>
      </w:tr>
      <w:tr w14:paraId="4EE9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094D81B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15AA6946">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1DA4E71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610BDB6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5BBE611D">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47A0B366">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611D2F6E">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643F8515">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77230B99">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03DC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9AC2BB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0E3FA06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1C6B94C1">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350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BFA706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227D8ED1">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4605D39D">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10C1BA4A">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0D20D95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593E93D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649A23E7">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1DDA9764">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69D2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B18DD6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3CB50CF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4C58EC06">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7194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2495C9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5FFC4D88">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4E378751">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5FF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96CEDC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3A64C7F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23CE1B1D">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5971EEBD">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lang w:val="zh-CN"/>
        </w:rPr>
        <w:t>注: 商务需求中所有指标必须全部响应，任意一项不满足将判定为无效投标</w:t>
      </w:r>
    </w:p>
    <w:p w14:paraId="59F6DC37">
      <w:pPr>
        <w:widowControl/>
        <w:ind w:firstLine="643" w:firstLineChars="200"/>
        <w:jc w:val="center"/>
        <w:rPr>
          <w:rFonts w:hint="default" w:ascii="宋体" w:hAnsi="宋体" w:eastAsia="宋体" w:cs="宋体"/>
          <w:sz w:val="32"/>
          <w:szCs w:val="32"/>
          <w:lang w:val="en-US" w:eastAsia="zh-CN"/>
        </w:rPr>
      </w:pPr>
      <w:r>
        <w:rPr>
          <w:rFonts w:hint="eastAsia" w:ascii="宋体" w:hAnsi="宋体" w:cs="宋体"/>
          <w:b/>
          <w:bCs/>
          <w:sz w:val="32"/>
          <w:szCs w:val="32"/>
          <w:lang w:eastAsia="zh-CN" w:bidi="ar"/>
        </w:rPr>
        <w:t>包四：</w:t>
      </w:r>
      <w:r>
        <w:rPr>
          <w:rFonts w:hint="eastAsia"/>
          <w:b/>
          <w:sz w:val="32"/>
          <w:szCs w:val="32"/>
          <w:lang w:val="en-US" w:eastAsia="zh-CN"/>
        </w:rPr>
        <w:t>心血管内科监护仪3台</w:t>
      </w:r>
      <w:r>
        <w:rPr>
          <w:rFonts w:hint="eastAsia" w:eastAsia="宋体"/>
          <w:b/>
          <w:sz w:val="32"/>
          <w:szCs w:val="32"/>
          <w:lang w:val="en-US" w:eastAsia="zh-CN"/>
        </w:rPr>
        <w:t>，总预算3万元</w:t>
      </w:r>
    </w:p>
    <w:p w14:paraId="30F55A69">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678244EF">
      <w:pPr>
        <w:pStyle w:val="4"/>
        <w:keepNext w:val="0"/>
        <w:keepLines w:val="0"/>
        <w:pageBreakBefore w:val="0"/>
        <w:widowControl w:val="0"/>
        <w:kinsoku/>
        <w:wordWrap/>
        <w:overflowPunct/>
        <w:topLinePunct w:val="0"/>
        <w:bidi w:val="0"/>
        <w:snapToGrid/>
        <w:spacing w:line="240" w:lineRule="auto"/>
        <w:ind w:left="0"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1DE5C1CB">
      <w:pPr>
        <w:jc w:val="left"/>
        <w:rPr>
          <w:rFonts w:hint="eastAsia"/>
        </w:rPr>
      </w:pPr>
      <w:r>
        <w:rPr>
          <w:rFonts w:hint="eastAsia"/>
          <w:lang w:val="en-US" w:eastAsia="zh-CN"/>
        </w:rPr>
        <w:t>1.</w:t>
      </w:r>
      <w:r>
        <w:rPr>
          <w:rFonts w:hint="eastAsia"/>
        </w:rPr>
        <w:t>整机要求</w:t>
      </w:r>
    </w:p>
    <w:p w14:paraId="124844D7">
      <w:pPr>
        <w:jc w:val="left"/>
        <w:rPr>
          <w:rFonts w:hint="eastAsia" w:eastAsiaTheme="minorEastAsia"/>
          <w:lang w:eastAsia="zh-CN"/>
        </w:rPr>
      </w:pPr>
      <w:r>
        <w:rPr>
          <w:rFonts w:hint="eastAsia"/>
          <w:lang w:val="en-US" w:eastAsia="zh-CN"/>
        </w:rPr>
        <w:t>1.1</w:t>
      </w:r>
      <w:r>
        <w:rPr>
          <w:rFonts w:hint="eastAsia"/>
        </w:rPr>
        <w:t>便携一体式监护仪, 屏幕标配电容屏</w:t>
      </w:r>
      <w:r>
        <w:rPr>
          <w:rFonts w:hint="eastAsia"/>
          <w:lang w:eastAsia="zh-CN"/>
        </w:rPr>
        <w:t>；</w:t>
      </w:r>
    </w:p>
    <w:p w14:paraId="45C3D424">
      <w:pPr>
        <w:jc w:val="left"/>
        <w:rPr>
          <w:rFonts w:hint="eastAsia" w:eastAsiaTheme="minorEastAsia"/>
          <w:lang w:eastAsia="zh-CN"/>
        </w:rPr>
      </w:pPr>
      <w:r>
        <w:rPr>
          <w:rFonts w:hint="eastAsia"/>
          <w:lang w:val="en-US" w:eastAsia="zh-CN"/>
        </w:rPr>
        <w:t>1.2</w:t>
      </w:r>
      <w:r>
        <w:rPr>
          <w:rFonts w:hint="eastAsia"/>
        </w:rPr>
        <w:t>≥10寸彩色液晶触摸屏，分辨率≥1024*600</w:t>
      </w:r>
      <w:r>
        <w:rPr>
          <w:rFonts w:hint="eastAsia"/>
          <w:lang w:eastAsia="zh-CN"/>
        </w:rPr>
        <w:t>；</w:t>
      </w:r>
    </w:p>
    <w:p w14:paraId="2641968D">
      <w:pPr>
        <w:jc w:val="left"/>
        <w:rPr>
          <w:rFonts w:hint="eastAsia"/>
          <w:lang w:eastAsia="zh-CN"/>
        </w:rPr>
      </w:pPr>
      <w:r>
        <w:rPr>
          <w:rFonts w:hint="eastAsia"/>
        </w:rPr>
        <w:t>▲</w:t>
      </w:r>
      <w:r>
        <w:rPr>
          <w:rFonts w:hint="eastAsia"/>
          <w:lang w:val="en-US" w:eastAsia="zh-CN"/>
        </w:rPr>
        <w:t>1.3显示屏</w:t>
      </w:r>
      <w:r>
        <w:rPr>
          <w:rFonts w:hint="eastAsia"/>
        </w:rPr>
        <w:t>≥8通道波形显示</w:t>
      </w:r>
      <w:r>
        <w:rPr>
          <w:rFonts w:hint="eastAsia"/>
          <w:lang w:eastAsia="zh-CN"/>
        </w:rPr>
        <w:t>；</w:t>
      </w:r>
      <w:r>
        <w:rPr>
          <w:rFonts w:hint="eastAsia"/>
        </w:rPr>
        <w:t>（需提供证明材料）</w:t>
      </w:r>
    </w:p>
    <w:p w14:paraId="6AE5F807">
      <w:pPr>
        <w:jc w:val="left"/>
        <w:rPr>
          <w:rFonts w:hint="eastAsia"/>
          <w:lang w:eastAsia="zh-CN"/>
        </w:rPr>
      </w:pPr>
      <w:r>
        <w:rPr>
          <w:rFonts w:hint="eastAsia"/>
        </w:rPr>
        <w:t>▲</w:t>
      </w:r>
      <w:r>
        <w:rPr>
          <w:rFonts w:hint="eastAsia"/>
          <w:lang w:val="en-US" w:eastAsia="zh-CN"/>
        </w:rPr>
        <w:t>1.3</w:t>
      </w:r>
      <w:r>
        <w:rPr>
          <w:rFonts w:hint="eastAsia"/>
        </w:rPr>
        <w:t>标配锂电池，工作时间≥4.5小时</w:t>
      </w:r>
      <w:r>
        <w:rPr>
          <w:rFonts w:hint="eastAsia"/>
          <w:lang w:eastAsia="zh-CN"/>
        </w:rPr>
        <w:t>；</w:t>
      </w:r>
      <w:r>
        <w:rPr>
          <w:rFonts w:hint="eastAsia"/>
        </w:rPr>
        <w:t>（需提供证明材料）</w:t>
      </w:r>
    </w:p>
    <w:p w14:paraId="3A44E132">
      <w:pPr>
        <w:jc w:val="left"/>
        <w:rPr>
          <w:rFonts w:hint="eastAsia"/>
        </w:rPr>
      </w:pPr>
      <w:r>
        <w:rPr>
          <w:rFonts w:hint="eastAsia"/>
          <w:lang w:val="en-US" w:eastAsia="zh-CN"/>
        </w:rPr>
        <w:t>1.4</w:t>
      </w:r>
      <w:r>
        <w:rPr>
          <w:rFonts w:hint="eastAsia"/>
        </w:rPr>
        <w:t>安全规格：ECG, TEMP, SpO2 , NIBP监测参数抗电击程度为防除颤CF型；</w:t>
      </w:r>
    </w:p>
    <w:p w14:paraId="4423A02A">
      <w:pPr>
        <w:jc w:val="left"/>
        <w:rPr>
          <w:rFonts w:hint="eastAsia"/>
        </w:rPr>
      </w:pPr>
      <w:r>
        <w:rPr>
          <w:rFonts w:hint="eastAsia"/>
        </w:rPr>
        <w:t>▲</w:t>
      </w:r>
      <w:r>
        <w:rPr>
          <w:rFonts w:hint="eastAsia"/>
          <w:lang w:val="en-US" w:eastAsia="zh-CN"/>
        </w:rPr>
        <w:t>1.5</w:t>
      </w:r>
      <w:r>
        <w:rPr>
          <w:rFonts w:hint="eastAsia"/>
        </w:rPr>
        <w:t>监护仪设计使用年限≥10年</w:t>
      </w:r>
      <w:r>
        <w:rPr>
          <w:rFonts w:hint="eastAsia"/>
          <w:lang w:eastAsia="zh-CN"/>
        </w:rPr>
        <w:t>；</w:t>
      </w:r>
      <w:r>
        <w:rPr>
          <w:rFonts w:hint="eastAsia"/>
        </w:rPr>
        <w:t>（需提供证明材料）</w:t>
      </w:r>
    </w:p>
    <w:p w14:paraId="3FF3FA62">
      <w:pPr>
        <w:jc w:val="left"/>
        <w:rPr>
          <w:rFonts w:hint="eastAsia"/>
        </w:rPr>
      </w:pPr>
      <w:r>
        <w:rPr>
          <w:rFonts w:hint="eastAsia"/>
          <w:lang w:val="en-US" w:eastAsia="zh-CN"/>
        </w:rPr>
        <w:t>1.6</w:t>
      </w:r>
      <w:r>
        <w:rPr>
          <w:rFonts w:hint="eastAsia"/>
        </w:rPr>
        <w:t>主机防水等级≥IPX1</w:t>
      </w:r>
      <w:r>
        <w:rPr>
          <w:rFonts w:hint="eastAsia"/>
          <w:lang w:eastAsia="zh-CN"/>
        </w:rPr>
        <w:t>；</w:t>
      </w:r>
    </w:p>
    <w:p w14:paraId="0DD96483">
      <w:pPr>
        <w:jc w:val="left"/>
        <w:rPr>
          <w:rFonts w:hint="eastAsia"/>
        </w:rPr>
      </w:pPr>
      <w:r>
        <w:rPr>
          <w:rFonts w:hint="eastAsia"/>
          <w:lang w:val="en-US" w:eastAsia="zh-CN"/>
        </w:rPr>
        <w:t>2.</w:t>
      </w:r>
      <w:r>
        <w:rPr>
          <w:rFonts w:hint="eastAsia"/>
        </w:rPr>
        <w:t>监测参数</w:t>
      </w:r>
    </w:p>
    <w:p w14:paraId="67F1A012">
      <w:pPr>
        <w:jc w:val="left"/>
        <w:rPr>
          <w:rFonts w:hint="eastAsia"/>
        </w:rPr>
      </w:pPr>
      <w:r>
        <w:rPr>
          <w:rFonts w:hint="eastAsia"/>
        </w:rPr>
        <w:t>★</w:t>
      </w:r>
      <w:r>
        <w:rPr>
          <w:rFonts w:hint="eastAsia"/>
          <w:lang w:val="en-US" w:eastAsia="zh-CN"/>
        </w:rPr>
        <w:t>2.1</w:t>
      </w:r>
      <w:r>
        <w:rPr>
          <w:rFonts w:hint="eastAsia"/>
        </w:rPr>
        <w:t>标准配置可监测心电，呼吸，无创血压，血氧饱和度，脉搏和体温，适用于成人、小儿和新生儿</w:t>
      </w:r>
      <w:r>
        <w:rPr>
          <w:rFonts w:hint="eastAsia"/>
          <w:lang w:eastAsia="zh-CN"/>
        </w:rPr>
        <w:t>；</w:t>
      </w:r>
      <w:r>
        <w:rPr>
          <w:rFonts w:hint="eastAsia"/>
        </w:rPr>
        <w:t>（需提供证明材料）</w:t>
      </w:r>
    </w:p>
    <w:p w14:paraId="158CDF79">
      <w:pPr>
        <w:jc w:val="left"/>
        <w:rPr>
          <w:rFonts w:hint="eastAsia"/>
        </w:rPr>
      </w:pPr>
      <w:r>
        <w:rPr>
          <w:rFonts w:hint="eastAsia"/>
        </w:rPr>
        <w:t>▲</w:t>
      </w:r>
      <w:r>
        <w:rPr>
          <w:rFonts w:hint="eastAsia"/>
          <w:lang w:val="en-US" w:eastAsia="zh-CN"/>
        </w:rPr>
        <w:t>2.2</w:t>
      </w:r>
      <w:r>
        <w:rPr>
          <w:rFonts w:hint="eastAsia"/>
        </w:rPr>
        <w:t>采用ECG多导同步分析专利技术，保证心电监护的优异性</w:t>
      </w:r>
      <w:r>
        <w:rPr>
          <w:rFonts w:hint="eastAsia"/>
          <w:lang w:eastAsia="zh-CN"/>
        </w:rPr>
        <w:t>；</w:t>
      </w:r>
      <w:r>
        <w:rPr>
          <w:rFonts w:hint="eastAsia"/>
        </w:rPr>
        <w:t>（需提供证明材料）</w:t>
      </w:r>
    </w:p>
    <w:p w14:paraId="4338389A">
      <w:pPr>
        <w:jc w:val="left"/>
        <w:rPr>
          <w:rFonts w:hint="eastAsia"/>
        </w:rPr>
      </w:pPr>
      <w:r>
        <w:rPr>
          <w:rFonts w:hint="eastAsia"/>
          <w:lang w:val="en-US" w:eastAsia="zh-CN"/>
        </w:rPr>
        <w:t>2.3</w:t>
      </w:r>
      <w:r>
        <w:rPr>
          <w:rFonts w:hint="eastAsia"/>
        </w:rPr>
        <w:t>提供QRS阈值调节功能，为避免R波幅度较低时误报停搏报警，以及某些高T波和高P波被误识别为QRS波群</w:t>
      </w:r>
      <w:r>
        <w:rPr>
          <w:rFonts w:hint="eastAsia"/>
          <w:lang w:eastAsia="zh-CN"/>
        </w:rPr>
        <w:t>；</w:t>
      </w:r>
    </w:p>
    <w:p w14:paraId="5EE0384C">
      <w:pPr>
        <w:jc w:val="left"/>
        <w:rPr>
          <w:rFonts w:hint="eastAsia"/>
        </w:rPr>
      </w:pPr>
      <w:r>
        <w:rPr>
          <w:rFonts w:hint="eastAsia"/>
        </w:rPr>
        <w:t>▲</w:t>
      </w:r>
      <w:r>
        <w:rPr>
          <w:rFonts w:hint="eastAsia"/>
          <w:lang w:val="en-US" w:eastAsia="zh-CN"/>
        </w:rPr>
        <w:t>2.4</w:t>
      </w:r>
      <w:r>
        <w:rPr>
          <w:rFonts w:hint="eastAsia"/>
        </w:rPr>
        <w:t>心率监测范围：成人10～300bpm，小儿/新生儿：10～350bpm</w:t>
      </w:r>
      <w:r>
        <w:rPr>
          <w:rFonts w:hint="eastAsia"/>
          <w:lang w:eastAsia="zh-CN"/>
        </w:rPr>
        <w:t>；</w:t>
      </w:r>
      <w:r>
        <w:rPr>
          <w:rFonts w:hint="eastAsia"/>
        </w:rPr>
        <w:t>（需提供证明材料）</w:t>
      </w:r>
    </w:p>
    <w:p w14:paraId="4C8A8C18">
      <w:pPr>
        <w:jc w:val="left"/>
        <w:rPr>
          <w:rFonts w:hint="eastAsia"/>
        </w:rPr>
      </w:pPr>
      <w:r>
        <w:rPr>
          <w:rFonts w:hint="eastAsia"/>
          <w:lang w:val="en-US" w:eastAsia="zh-CN"/>
        </w:rPr>
        <w:t>2.5</w:t>
      </w:r>
      <w:r>
        <w:rPr>
          <w:rFonts w:hint="eastAsia"/>
        </w:rPr>
        <w:t>提供动态血压分析界面，包括平均血压、白天平均血压、夜间平均血压、最高血压、最低血压和正常血压比例等，直观快速了解过去24小时患者血压变化和分布情况</w:t>
      </w:r>
      <w:r>
        <w:rPr>
          <w:rFonts w:hint="eastAsia"/>
          <w:lang w:eastAsia="zh-CN"/>
        </w:rPr>
        <w:t>；</w:t>
      </w:r>
    </w:p>
    <w:p w14:paraId="7A2D6422">
      <w:pPr>
        <w:jc w:val="left"/>
        <w:rPr>
          <w:rFonts w:hint="eastAsia"/>
        </w:rPr>
      </w:pPr>
      <w:r>
        <w:rPr>
          <w:rFonts w:hint="eastAsia"/>
          <w:lang w:val="en-US" w:eastAsia="zh-CN"/>
        </w:rPr>
        <w:t>3.</w:t>
      </w:r>
      <w:r>
        <w:rPr>
          <w:rFonts w:hint="eastAsia"/>
        </w:rPr>
        <w:t>系统功能</w:t>
      </w:r>
    </w:p>
    <w:p w14:paraId="3A677060">
      <w:pPr>
        <w:jc w:val="left"/>
        <w:rPr>
          <w:rFonts w:hint="eastAsia"/>
        </w:rPr>
      </w:pPr>
      <w:r>
        <w:rPr>
          <w:rFonts w:hint="eastAsia"/>
          <w:lang w:val="en-US" w:eastAsia="zh-CN"/>
        </w:rPr>
        <w:t>3.1</w:t>
      </w:r>
      <w:r>
        <w:rPr>
          <w:rFonts w:hint="eastAsia"/>
        </w:rPr>
        <w:t>具有三级声光报警，参数报警级别可调</w:t>
      </w:r>
      <w:r>
        <w:rPr>
          <w:rFonts w:hint="eastAsia"/>
          <w:lang w:eastAsia="zh-CN"/>
        </w:rPr>
        <w:t>；</w:t>
      </w:r>
    </w:p>
    <w:p w14:paraId="2D4EEED0">
      <w:pPr>
        <w:jc w:val="left"/>
        <w:rPr>
          <w:rFonts w:hint="eastAsia"/>
        </w:rPr>
      </w:pPr>
      <w:r>
        <w:rPr>
          <w:rFonts w:hint="eastAsia"/>
          <w:lang w:val="en-US" w:eastAsia="zh-CN"/>
        </w:rPr>
        <w:t>3.2</w:t>
      </w:r>
      <w:r>
        <w:rPr>
          <w:rFonts w:hint="eastAsia"/>
        </w:rPr>
        <w:t>支持自主培训功能，通过动画与图文结合，对医护团队介绍监护仪常用功能</w:t>
      </w:r>
      <w:r>
        <w:rPr>
          <w:rFonts w:hint="eastAsia"/>
          <w:lang w:eastAsia="zh-CN"/>
        </w:rPr>
        <w:t>；</w:t>
      </w:r>
    </w:p>
    <w:p w14:paraId="6CD498D9">
      <w:pPr>
        <w:jc w:val="left"/>
        <w:rPr>
          <w:rFonts w:hint="eastAsia"/>
        </w:rPr>
      </w:pPr>
      <w:r>
        <w:rPr>
          <w:rFonts w:hint="eastAsia"/>
        </w:rPr>
        <w:t>▲</w:t>
      </w:r>
      <w:r>
        <w:rPr>
          <w:rFonts w:hint="eastAsia"/>
          <w:lang w:val="en-US" w:eastAsia="zh-CN"/>
        </w:rPr>
        <w:t>3.3</w:t>
      </w:r>
      <w:r>
        <w:rPr>
          <w:rFonts w:hint="eastAsia"/>
        </w:rPr>
        <w:t>支持USB外部存储，支持≥2400小时趋势数据的存储与回顾功能，支持≥5000组无创血压测量记录，≥120小时全息波形的存储与回顾功能</w:t>
      </w:r>
      <w:r>
        <w:rPr>
          <w:rFonts w:hint="eastAsia"/>
          <w:lang w:eastAsia="zh-CN"/>
        </w:rPr>
        <w:t>；</w:t>
      </w:r>
      <w:r>
        <w:rPr>
          <w:rFonts w:hint="eastAsia"/>
        </w:rPr>
        <w:t>（需提供证明材料）</w:t>
      </w:r>
    </w:p>
    <w:p w14:paraId="7E37BA4F">
      <w:pPr>
        <w:jc w:val="left"/>
        <w:rPr>
          <w:rFonts w:hint="eastAsia"/>
        </w:rPr>
      </w:pPr>
      <w:r>
        <w:rPr>
          <w:rFonts w:hint="eastAsia"/>
          <w:lang w:val="en-US" w:eastAsia="zh-CN"/>
        </w:rPr>
        <w:t>3.4</w:t>
      </w:r>
      <w:r>
        <w:rPr>
          <w:rFonts w:hint="eastAsia"/>
        </w:rPr>
        <w:t>支持格拉斯哥昏迷评分（GCS）功能</w:t>
      </w:r>
      <w:r>
        <w:rPr>
          <w:rFonts w:hint="eastAsia"/>
          <w:lang w:eastAsia="zh-CN"/>
        </w:rPr>
        <w:t>；</w:t>
      </w:r>
    </w:p>
    <w:p w14:paraId="3AA67FDD">
      <w:pPr>
        <w:jc w:val="left"/>
        <w:rPr>
          <w:rFonts w:hint="eastAsia" w:eastAsiaTheme="minorEastAsia"/>
          <w:lang w:eastAsia="zh-CN"/>
        </w:rPr>
      </w:pPr>
      <w:r>
        <w:rPr>
          <w:rFonts w:hint="eastAsia"/>
          <w:lang w:val="en-US" w:eastAsia="zh-CN"/>
        </w:rPr>
        <w:t>3.5</w:t>
      </w:r>
      <w:r>
        <w:rPr>
          <w:rFonts w:hint="eastAsia"/>
        </w:rPr>
        <w:t>支持监护仪的系统日志向U盘设备的导出功能，日志包括：系统状态、异常和技术报警等，满足设备管理的日常维护需求</w:t>
      </w:r>
      <w:r>
        <w:rPr>
          <w:rFonts w:hint="eastAsia"/>
          <w:lang w:eastAsia="zh-CN"/>
        </w:rPr>
        <w:t>；</w:t>
      </w:r>
    </w:p>
    <w:p w14:paraId="4E4C6AB3">
      <w:pPr>
        <w:jc w:val="left"/>
        <w:rPr>
          <w:rFonts w:hint="eastAsia"/>
          <w:lang w:val="en-US" w:eastAsia="zh-CN"/>
        </w:rPr>
      </w:pPr>
      <w:r>
        <w:rPr>
          <w:rFonts w:hint="eastAsia"/>
          <w:lang w:val="en-US" w:eastAsia="zh-CN"/>
        </w:rPr>
        <w:t>3.6</w:t>
      </w:r>
      <w:r>
        <w:rPr>
          <w:rFonts w:hint="eastAsia"/>
        </w:rPr>
        <w:t>主机集成附件收纳箱，支持将心电、血氧和无创血压等导联线附件进行收纳放置，方便监护仪设备的高效管理和转移</w:t>
      </w:r>
      <w:r>
        <w:rPr>
          <w:rFonts w:hint="eastAsia"/>
          <w:lang w:eastAsia="zh-CN"/>
        </w:rPr>
        <w:t>。</w:t>
      </w:r>
      <w:r>
        <w:rPr>
          <w:rFonts w:hint="eastAsia"/>
          <w:lang w:val="en-US" w:eastAsia="zh-CN"/>
        </w:rPr>
        <w:t xml:space="preserve"> </w:t>
      </w:r>
    </w:p>
    <w:p w14:paraId="512473F2">
      <w:pPr>
        <w:jc w:val="left"/>
        <w:rPr>
          <w:rFonts w:hint="eastAsia" w:ascii="宋体" w:hAnsi="宋体" w:eastAsia="宋体" w:cs="宋体"/>
          <w:color w:val="000000"/>
          <w:sz w:val="21"/>
          <w:szCs w:val="21"/>
          <w:lang w:val="en-US" w:eastAsia="zh-CN"/>
        </w:rPr>
      </w:pPr>
    </w:p>
    <w:p w14:paraId="0E512D1E">
      <w:pPr>
        <w:pStyle w:val="4"/>
        <w:keepNext w:val="0"/>
        <w:keepLines w:val="0"/>
        <w:pageBreakBefore w:val="0"/>
        <w:widowControl w:val="0"/>
        <w:kinsoku/>
        <w:wordWrap/>
        <w:overflowPunct/>
        <w:topLinePunct w:val="0"/>
        <w:bidi w:val="0"/>
        <w:snapToGrid/>
        <w:spacing w:line="240" w:lineRule="auto"/>
        <w:ind w:left="0" w:leftChars="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二、配置清单</w:t>
      </w:r>
    </w:p>
    <w:p w14:paraId="396D6F3E">
      <w:pPr>
        <w:rPr>
          <w:rFonts w:hint="default"/>
          <w:lang w:val="en-US" w:eastAsia="zh-CN"/>
        </w:rPr>
      </w:pPr>
      <w:r>
        <w:rPr>
          <w:rFonts w:hint="eastAsia"/>
          <w:lang w:val="en-US" w:eastAsia="zh-CN"/>
        </w:rPr>
        <w:t>1.主机  3台</w:t>
      </w:r>
    </w:p>
    <w:p w14:paraId="3A12036B">
      <w:pPr>
        <w:rPr>
          <w:rFonts w:hint="default"/>
          <w:lang w:val="en-US" w:eastAsia="zh-CN"/>
        </w:rPr>
      </w:pPr>
      <w:r>
        <w:rPr>
          <w:rFonts w:hint="eastAsia"/>
          <w:lang w:val="en-US" w:eastAsia="zh-CN"/>
        </w:rPr>
        <w:t>2.心电、血氧、血压附件包  3套</w:t>
      </w:r>
    </w:p>
    <w:p w14:paraId="6077F058">
      <w:pPr>
        <w:rPr>
          <w:rFonts w:hint="default"/>
          <w:lang w:val="en-US" w:eastAsia="zh-CN"/>
        </w:rPr>
      </w:pPr>
    </w:p>
    <w:p w14:paraId="67E41986">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418"/>
        <w:gridCol w:w="6411"/>
      </w:tblGrid>
      <w:tr w14:paraId="2BD6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1728A4D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3D08713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614EBD9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05EB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3595B7F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4E39A4B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530CA9E4">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4F08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0FB8E9A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4EBEFACD">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7EEA608B">
            <w:pPr>
              <w:keepNext w:val="0"/>
              <w:keepLines w:val="0"/>
              <w:widowControl/>
              <w:suppressLineNumbers w:val="0"/>
              <w:spacing w:before="0" w:beforeAutospacing="0" w:after="0" w:afterAutospacing="0" w:line="360" w:lineRule="auto"/>
              <w:ind w:left="0" w:right="0"/>
              <w:jc w:val="left"/>
              <w:rPr>
                <w:rFonts w:hint="eastAsia" w:hAnsi="宋体" w:eastAsia="宋体" w:cs="宋体"/>
                <w:b w:val="0"/>
                <w:bCs/>
                <w:snapToGrid w:val="0"/>
                <w:color w:val="000000"/>
                <w:szCs w:val="24"/>
                <w:highlight w:val="none"/>
                <w:lang w:val="en-US" w:eastAsia="zh-CN"/>
              </w:rPr>
            </w:pPr>
            <w:r>
              <w:rPr>
                <w:rFonts w:hint="eastAsia" w:hAnsi="宋体" w:cs="宋体"/>
                <w:b w:val="0"/>
                <w:bCs/>
                <w:szCs w:val="24"/>
                <w:lang w:val="en-US" w:eastAsia="zh-CN"/>
              </w:rPr>
              <w:t>整机</w:t>
            </w:r>
            <w:r>
              <w:rPr>
                <w:rFonts w:hint="eastAsia" w:hAnsi="宋体" w:eastAsia="宋体" w:cs="宋体"/>
                <w:b w:val="0"/>
                <w:bCs/>
                <w:szCs w:val="24"/>
              </w:rPr>
              <w:t>原厂免费质保≥三年</w:t>
            </w:r>
            <w:r>
              <w:rPr>
                <w:rFonts w:hint="eastAsia" w:hAnsi="宋体" w:cs="宋体"/>
                <w:b w:val="0"/>
                <w:bCs/>
                <w:szCs w:val="24"/>
                <w:lang w:eastAsia="zh-CN"/>
              </w:rPr>
              <w:t>（</w:t>
            </w:r>
            <w:r>
              <w:rPr>
                <w:rFonts w:hint="eastAsia" w:hAnsi="宋体" w:cs="宋体"/>
                <w:b w:val="0"/>
                <w:bCs/>
                <w:szCs w:val="24"/>
                <w:lang w:val="en-US" w:eastAsia="zh-CN"/>
              </w:rPr>
              <w:t>含</w:t>
            </w:r>
            <w:r>
              <w:rPr>
                <w:rFonts w:hint="eastAsia"/>
                <w:szCs w:val="20"/>
                <w:lang w:val="en-US" w:eastAsia="zh-CN"/>
              </w:rPr>
              <w:t>心电、血氧、血压</w:t>
            </w:r>
            <w:r>
              <w:rPr>
                <w:rFonts w:hint="eastAsia" w:hAnsi="宋体" w:cs="宋体"/>
                <w:b w:val="0"/>
                <w:bCs/>
                <w:szCs w:val="24"/>
                <w:lang w:val="en-US" w:eastAsia="zh-CN"/>
              </w:rPr>
              <w:t>附件包</w:t>
            </w:r>
            <w:r>
              <w:rPr>
                <w:rFonts w:hint="eastAsia" w:hAnsi="宋体" w:cs="宋体"/>
                <w:b w:val="0"/>
                <w:bCs/>
                <w:szCs w:val="24"/>
                <w:lang w:eastAsia="zh-CN"/>
              </w:rPr>
              <w:t>）</w:t>
            </w:r>
          </w:p>
        </w:tc>
      </w:tr>
      <w:tr w14:paraId="0885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19FD831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5A32ACDC">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336BA5E3">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2E29C99B">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69E10AA7">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0C296439">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77B457C1">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34B0E1D0">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791B6366">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0E15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B4A0EA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401A7236">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3232EB07">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6B5B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76A303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5D00958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762EC6DB">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4D7A314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244DF17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409E35B7">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65F0444B">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7E28FDDE">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385C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7FB3BE3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7110BB20">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30DA33D7">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2A2C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173F13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50EB004B">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2EEB37CC">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67B8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F6E81E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5A074DB3">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1E0B7F15">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780D78A0">
      <w:pPr>
        <w:widowControl/>
        <w:jc w:val="center"/>
        <w:rPr>
          <w:rFonts w:hint="eastAsia" w:ascii="宋体" w:hAnsi="宋体" w:eastAsia="宋体" w:cs="宋体"/>
          <w:b/>
          <w:bCs/>
          <w:sz w:val="32"/>
          <w:szCs w:val="32"/>
          <w:lang w:eastAsia="zh-CN" w:bidi="ar"/>
        </w:rPr>
      </w:pPr>
      <w:r>
        <w:rPr>
          <w:rFonts w:hint="eastAsia" w:hAnsi="宋体" w:cs="宋体"/>
          <w:snapToGrid w:val="0"/>
          <w:szCs w:val="21"/>
          <w:u w:val="single"/>
          <w:lang w:val="zh-CN"/>
        </w:rPr>
        <w:t>注: 商务需求中所有指标必须全部响应，任意一项不满足将判定为无效投标</w:t>
      </w:r>
    </w:p>
    <w:p w14:paraId="238A1438">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03368017">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5CDC9A5E">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161AE1D8">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2056CFD9">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74D6CE18">
      <w:pPr>
        <w:pStyle w:val="2"/>
        <w:widowControl/>
        <w:spacing w:before="312" w:after="312" w:line="360" w:lineRule="auto"/>
        <w:ind w:firstLine="0" w:firstLineChars="0"/>
        <w:rPr>
          <w:rFonts w:hint="eastAsia" w:ascii="宋体" w:hAnsi="宋体" w:eastAsia="宋体" w:cs="宋体"/>
          <w:bCs/>
          <w:color w:val="000000"/>
          <w:kern w:val="2"/>
          <w:sz w:val="28"/>
        </w:rPr>
      </w:pPr>
      <w:bookmarkStart w:id="9" w:name="_Toc32732"/>
      <w:r>
        <w:rPr>
          <w:rFonts w:hint="eastAsia" w:ascii="宋体" w:hAnsi="宋体" w:eastAsia="宋体" w:cs="宋体"/>
          <w:bCs/>
          <w:color w:val="000000"/>
          <w:kern w:val="2"/>
          <w:sz w:val="28"/>
          <w:lang w:val="zh-CN"/>
        </w:rPr>
        <w:t>包一：</w:t>
      </w:r>
      <w:bookmarkEnd w:id="9"/>
    </w:p>
    <w:p w14:paraId="2F040ED5">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1ABABA18">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6767E579">
      <w:pPr>
        <w:spacing w:line="360" w:lineRule="auto"/>
        <w:jc w:val="left"/>
        <w:rPr>
          <w:rFonts w:hAnsi="宋体" w:cs="宋体"/>
          <w:b w:val="0"/>
          <w:bCs/>
        </w:rPr>
      </w:pPr>
      <w:r>
        <w:rPr>
          <w:rFonts w:hint="eastAsia" w:hAnsi="宋体" w:cs="宋体"/>
          <w:b w:val="0"/>
          <w:bCs/>
        </w:rPr>
        <w:t>采用综合评分法。</w:t>
      </w:r>
    </w:p>
    <w:p w14:paraId="0E9F4ED9">
      <w:pPr>
        <w:spacing w:line="360" w:lineRule="auto"/>
        <w:jc w:val="left"/>
      </w:pPr>
      <w:r>
        <w:rPr>
          <w:rFonts w:hint="eastAsia" w:hAnsi="宋体" w:cs="宋体"/>
          <w:b w:val="0"/>
          <w:bCs/>
          <w:snapToGrid w:val="0"/>
          <w:sz w:val="28"/>
          <w:szCs w:val="28"/>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96A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63C56AD3">
            <w:pPr>
              <w:keepNext w:val="0"/>
              <w:keepLines w:val="0"/>
              <w:suppressLineNumbers w:val="0"/>
              <w:spacing w:before="0" w:beforeAutospacing="0" w:after="0" w:afterAutospacing="0"/>
              <w:ind w:left="0" w:right="0"/>
              <w:rPr>
                <w:rFonts w:hint="default"/>
                <w:kern w:val="2"/>
                <w:position w:val="0"/>
                <w:szCs w:val="24"/>
                <w:u w:val="single"/>
              </w:rPr>
            </w:pPr>
            <w:r>
              <w:rPr>
                <w:rFonts w:hint="eastAsia"/>
                <w:kern w:val="2"/>
                <w:position w:val="0"/>
                <w:szCs w:val="24"/>
                <w:u w:val="single"/>
              </w:rPr>
              <w:t>综合评估法：具体采用打分法</w:t>
            </w:r>
          </w:p>
          <w:p w14:paraId="29692157">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说明：只有初步评审合格的投标人，才能进入详细评审。初步评审办法详见招标文件。</w:t>
            </w:r>
          </w:p>
          <w:p w14:paraId="60471E9F">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14:paraId="0DCACA8A">
            <w:pPr>
              <w:keepNext w:val="0"/>
              <w:keepLines w:val="0"/>
              <w:suppressLineNumbers w:val="0"/>
              <w:spacing w:before="0" w:beforeAutospacing="0" w:after="0" w:afterAutospacing="0"/>
              <w:ind w:left="0" w:right="0"/>
              <w:rPr>
                <w:rFonts w:hint="default"/>
                <w:bCs/>
                <w:kern w:val="2"/>
                <w:position w:val="0"/>
                <w:szCs w:val="24"/>
              </w:rPr>
            </w:pPr>
            <w:r>
              <w:rPr>
                <w:rFonts w:hint="eastAsia"/>
                <w:bCs/>
                <w:kern w:val="2"/>
                <w:position w:val="0"/>
                <w:szCs w:val="24"/>
              </w:rPr>
              <w:t>1、报价：</w:t>
            </w:r>
            <w:r>
              <w:rPr>
                <w:rFonts w:hint="eastAsia"/>
                <w:bCs/>
                <w:kern w:val="2"/>
                <w:position w:val="0"/>
                <w:szCs w:val="24"/>
                <w:lang w:val="en-US" w:eastAsia="zh-CN"/>
              </w:rPr>
              <w:t>30</w:t>
            </w:r>
            <w:r>
              <w:rPr>
                <w:rFonts w:hint="eastAsia"/>
                <w:bCs/>
                <w:kern w:val="2"/>
                <w:position w:val="0"/>
                <w:szCs w:val="24"/>
              </w:rPr>
              <w:t>分</w:t>
            </w:r>
          </w:p>
          <w:p w14:paraId="14E6CE63">
            <w:pPr>
              <w:keepNext w:val="0"/>
              <w:keepLines w:val="0"/>
              <w:suppressLineNumbers w:val="0"/>
              <w:spacing w:before="0" w:beforeAutospacing="0" w:after="0" w:afterAutospacing="0"/>
              <w:ind w:left="0" w:right="0"/>
              <w:rPr>
                <w:rFonts w:hint="default"/>
                <w:b w:val="0"/>
                <w:kern w:val="2"/>
                <w:position w:val="0"/>
                <w:szCs w:val="24"/>
              </w:rPr>
            </w:pPr>
            <w:r>
              <w:rPr>
                <w:rFonts w:hint="eastAsia"/>
                <w:b w:val="0"/>
                <w:bCs/>
                <w:kern w:val="2"/>
                <w:position w:val="0"/>
                <w:szCs w:val="24"/>
              </w:rPr>
              <w:t>（</w:t>
            </w:r>
            <w:r>
              <w:rPr>
                <w:rFonts w:hint="default"/>
                <w:b w:val="0"/>
                <w:kern w:val="2"/>
                <w:position w:val="0"/>
                <w:szCs w:val="24"/>
              </w:rPr>
              <w:t>价格分采用低价优先法计算，即满足招标文件要求且投标价格最低的投标报价为评标基准价，其他供应商的价格分按照下列公式计算：</w:t>
            </w:r>
          </w:p>
          <w:p w14:paraId="0D1C9229">
            <w:pPr>
              <w:keepNext w:val="0"/>
              <w:keepLines w:val="0"/>
              <w:suppressLineNumbers w:val="0"/>
              <w:spacing w:before="0" w:beforeAutospacing="0" w:after="0" w:afterAutospacing="0"/>
              <w:ind w:left="0" w:right="0"/>
              <w:rPr>
                <w:rFonts w:hint="default"/>
                <w:b w:val="0"/>
                <w:bCs/>
                <w:kern w:val="2"/>
                <w:position w:val="0"/>
                <w:szCs w:val="24"/>
              </w:rPr>
            </w:pPr>
            <w:r>
              <w:rPr>
                <w:rFonts w:hint="default"/>
                <w:b w:val="0"/>
                <w:kern w:val="2"/>
                <w:position w:val="0"/>
                <w:szCs w:val="24"/>
              </w:rPr>
              <w:t>价格分=（评标基准价/投标报价）×</w:t>
            </w:r>
            <w:r>
              <w:rPr>
                <w:rFonts w:hint="eastAsia"/>
                <w:b w:val="0"/>
                <w:kern w:val="2"/>
                <w:position w:val="0"/>
                <w:szCs w:val="24"/>
                <w:lang w:val="en-US" w:eastAsia="zh-CN"/>
              </w:rPr>
              <w:t>3</w:t>
            </w:r>
            <w:r>
              <w:rPr>
                <w:rFonts w:hint="default"/>
                <w:b w:val="0"/>
                <w:kern w:val="2"/>
                <w:position w:val="0"/>
                <w:szCs w:val="24"/>
              </w:rPr>
              <w:t>0</w:t>
            </w:r>
            <w:r>
              <w:rPr>
                <w:rFonts w:hint="eastAsia"/>
                <w:b w:val="0"/>
                <w:kern w:val="2"/>
                <w:position w:val="0"/>
                <w:szCs w:val="24"/>
              </w:rPr>
              <w:t>（小数点保留两位）</w:t>
            </w:r>
            <w:r>
              <w:rPr>
                <w:rFonts w:hint="eastAsia"/>
                <w:b w:val="0"/>
                <w:bCs/>
                <w:kern w:val="2"/>
                <w:position w:val="0"/>
                <w:szCs w:val="24"/>
              </w:rPr>
              <w:t>）</w:t>
            </w:r>
          </w:p>
          <w:p w14:paraId="60ACD882">
            <w:pPr>
              <w:keepNext w:val="0"/>
              <w:keepLines w:val="0"/>
              <w:suppressLineNumbers w:val="0"/>
              <w:spacing w:before="0" w:beforeAutospacing="0" w:after="0" w:afterAutospacing="0"/>
              <w:ind w:left="0" w:right="0"/>
              <w:rPr>
                <w:rFonts w:hint="default"/>
                <w:kern w:val="2"/>
                <w:position w:val="0"/>
                <w:szCs w:val="24"/>
              </w:rPr>
            </w:pPr>
            <w:r>
              <w:rPr>
                <w:rFonts w:hint="eastAsia"/>
                <w:kern w:val="2"/>
                <w:position w:val="0"/>
                <w:szCs w:val="24"/>
              </w:rPr>
              <w:t>2、技术、性能、配置：</w:t>
            </w:r>
            <w:r>
              <w:rPr>
                <w:rFonts w:hint="eastAsia"/>
                <w:kern w:val="2"/>
                <w:position w:val="0"/>
                <w:szCs w:val="24"/>
                <w:lang w:val="en-US" w:eastAsia="zh-CN"/>
              </w:rPr>
              <w:t>46</w:t>
            </w:r>
            <w:r>
              <w:rPr>
                <w:rFonts w:hint="eastAsia"/>
                <w:kern w:val="2"/>
                <w:position w:val="0"/>
                <w:szCs w:val="24"/>
              </w:rPr>
              <w:t>分</w:t>
            </w:r>
          </w:p>
          <w:p w14:paraId="5C5B2FF0">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评委根据招标文件中《技术规格及商务要求》，结合投标文件提供的佐证材料等进行评审：</w:t>
            </w:r>
          </w:p>
          <w:p w14:paraId="2854973C">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1、全部满足标书基本要求得</w:t>
            </w:r>
            <w:r>
              <w:rPr>
                <w:rFonts w:hint="eastAsia"/>
                <w:b w:val="0"/>
                <w:kern w:val="2"/>
                <w:position w:val="0"/>
                <w:szCs w:val="24"/>
                <w:lang w:val="en-US" w:eastAsia="zh-CN"/>
              </w:rPr>
              <w:t>4</w:t>
            </w:r>
            <w:r>
              <w:rPr>
                <w:rFonts w:hint="default"/>
                <w:b w:val="0"/>
                <w:kern w:val="2"/>
                <w:position w:val="0"/>
                <w:szCs w:val="24"/>
              </w:rPr>
              <w:t>5</w:t>
            </w:r>
            <w:r>
              <w:rPr>
                <w:rFonts w:hint="eastAsia"/>
                <w:b w:val="0"/>
                <w:kern w:val="2"/>
                <w:position w:val="0"/>
                <w:szCs w:val="24"/>
              </w:rPr>
              <w:t>分，正偏离不加分，有一项★号指标负偏离做废标处理；</w:t>
            </w:r>
          </w:p>
          <w:p w14:paraId="4457A1D1">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2、有一项▲号指标负偏离扣</w:t>
            </w:r>
            <w:r>
              <w:rPr>
                <w:rFonts w:hint="default"/>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0A7BCCF1">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3、非★、▲号指标每负偏离一项扣</w:t>
            </w:r>
            <w:r>
              <w:rPr>
                <w:rFonts w:hint="default"/>
                <w:b w:val="0"/>
                <w:kern w:val="2"/>
                <w:position w:val="0"/>
                <w:szCs w:val="24"/>
              </w:rPr>
              <w:t>1</w:t>
            </w:r>
            <w:r>
              <w:rPr>
                <w:rFonts w:hint="eastAsia"/>
                <w:b w:val="0"/>
                <w:kern w:val="2"/>
                <w:position w:val="0"/>
                <w:szCs w:val="24"/>
              </w:rPr>
              <w:t>分，扣完为止。</w:t>
            </w:r>
          </w:p>
          <w:p w14:paraId="621DFE57">
            <w:pPr>
              <w:keepNext w:val="0"/>
              <w:keepLines w:val="0"/>
              <w:suppressLineNumbers w:val="0"/>
              <w:spacing w:before="0" w:beforeAutospacing="0" w:after="0" w:afterAutospacing="0"/>
              <w:ind w:left="0" w:right="0"/>
              <w:rPr>
                <w:rFonts w:hint="default"/>
                <w:szCs w:val="24"/>
              </w:rPr>
            </w:pPr>
            <w:r>
              <w:rPr>
                <w:rFonts w:hint="eastAsia"/>
                <w:szCs w:val="24"/>
              </w:rPr>
              <w:t>3、技术培训方案(5分)</w:t>
            </w:r>
          </w:p>
          <w:p w14:paraId="1E79D653">
            <w:pPr>
              <w:keepNext w:val="0"/>
              <w:keepLines w:val="0"/>
              <w:suppressLineNumbers w:val="0"/>
              <w:spacing w:before="0" w:beforeAutospacing="0" w:after="0" w:afterAutospacing="0"/>
              <w:ind w:left="0" w:right="0"/>
              <w:rPr>
                <w:rFonts w:hint="default"/>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2BC20CF6">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3437B724">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2、技术培训保障方案内容详实、考虑较全，培训计划具体，培训人员齐全，培训率承诺较高，得3分。</w:t>
            </w:r>
          </w:p>
          <w:p w14:paraId="62A59A51">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3．技术培训保障方案表述简单，培训计划简单、培训人员较少，培训率承诺一般，得</w:t>
            </w:r>
            <w:r>
              <w:rPr>
                <w:rFonts w:hint="default"/>
                <w:szCs w:val="24"/>
              </w:rPr>
              <w:t>1</w:t>
            </w:r>
            <w:r>
              <w:rPr>
                <w:rFonts w:hint="eastAsia"/>
                <w:szCs w:val="24"/>
              </w:rPr>
              <w:t>分。</w:t>
            </w:r>
          </w:p>
          <w:p w14:paraId="667D2742">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4．未提供方案或方案无可行性不得分。</w:t>
            </w:r>
          </w:p>
          <w:p w14:paraId="3F57D2F2">
            <w:pPr>
              <w:keepNext w:val="0"/>
              <w:keepLines w:val="0"/>
              <w:suppressLineNumbers w:val="0"/>
              <w:spacing w:before="0" w:beforeAutospacing="0" w:after="0" w:afterAutospacing="0"/>
              <w:ind w:left="0" w:right="0"/>
              <w:rPr>
                <w:rFonts w:hint="default"/>
                <w:szCs w:val="24"/>
              </w:rPr>
            </w:pPr>
            <w:r>
              <w:rPr>
                <w:rFonts w:hint="eastAsia"/>
                <w:szCs w:val="24"/>
              </w:rPr>
              <w:t>4、业绩：</w:t>
            </w:r>
            <w:r>
              <w:rPr>
                <w:rFonts w:hint="default"/>
                <w:szCs w:val="24"/>
              </w:rPr>
              <w:t>10</w:t>
            </w:r>
            <w:r>
              <w:rPr>
                <w:rFonts w:hint="eastAsia"/>
                <w:szCs w:val="24"/>
              </w:rPr>
              <w:t>分</w:t>
            </w:r>
          </w:p>
          <w:p w14:paraId="525AC852">
            <w:pPr>
              <w:keepNext w:val="0"/>
              <w:keepLines w:val="0"/>
              <w:suppressLineNumbers w:val="0"/>
              <w:spacing w:before="0" w:beforeAutospacing="0" w:after="0" w:afterAutospacing="0"/>
              <w:ind w:left="0" w:right="0"/>
              <w:rPr>
                <w:rFonts w:hint="default"/>
                <w:szCs w:val="24"/>
              </w:rPr>
            </w:pPr>
            <w:r>
              <w:rPr>
                <w:rFonts w:hint="eastAsia"/>
                <w:szCs w:val="24"/>
              </w:rPr>
              <w:t>提供投标产品的制造商或其代理商20</w:t>
            </w:r>
            <w:r>
              <w:rPr>
                <w:rFonts w:hint="default"/>
                <w:szCs w:val="24"/>
              </w:rPr>
              <w:t>2</w:t>
            </w:r>
            <w:r>
              <w:rPr>
                <w:rFonts w:hint="eastAsia"/>
                <w:szCs w:val="24"/>
              </w:rPr>
              <w:t>2年至今同品牌同型号的业绩证明文件（销售合同复印件），每提供1份合同得</w:t>
            </w:r>
            <w:r>
              <w:rPr>
                <w:rFonts w:hint="default"/>
                <w:szCs w:val="24"/>
              </w:rPr>
              <w:t>2.5</w:t>
            </w:r>
            <w:r>
              <w:rPr>
                <w:rFonts w:hint="eastAsia"/>
                <w:szCs w:val="24"/>
              </w:rPr>
              <w:t>分，最多得</w:t>
            </w:r>
            <w:r>
              <w:rPr>
                <w:rFonts w:hint="default"/>
                <w:szCs w:val="24"/>
              </w:rPr>
              <w:t>10</w:t>
            </w:r>
            <w:r>
              <w:rPr>
                <w:rFonts w:hint="eastAsia"/>
                <w:szCs w:val="24"/>
              </w:rPr>
              <w:t>分。未提供合同或合同型号不一致、关键页不清晰者，该项不得分。</w:t>
            </w:r>
          </w:p>
          <w:p w14:paraId="7DE05472">
            <w:pPr>
              <w:keepNext w:val="0"/>
              <w:keepLines w:val="0"/>
              <w:suppressLineNumbers w:val="0"/>
              <w:spacing w:before="0" w:beforeAutospacing="0" w:after="0" w:afterAutospacing="0"/>
              <w:ind w:left="0" w:right="0"/>
              <w:rPr>
                <w:rFonts w:hint="default"/>
                <w:szCs w:val="24"/>
              </w:rPr>
            </w:pPr>
            <w:r>
              <w:rPr>
                <w:rFonts w:hint="eastAsia"/>
                <w:szCs w:val="24"/>
              </w:rPr>
              <w:t>5、售后服务：9分</w:t>
            </w:r>
          </w:p>
          <w:p w14:paraId="7AACB859">
            <w:pPr>
              <w:keepNext w:val="0"/>
              <w:keepLines w:val="0"/>
              <w:suppressLineNumbers w:val="0"/>
              <w:spacing w:before="0" w:beforeAutospacing="0" w:after="0" w:afterAutospacing="0"/>
              <w:ind w:left="0" w:right="0"/>
              <w:rPr>
                <w:rFonts w:hint="default"/>
                <w:szCs w:val="24"/>
              </w:rPr>
            </w:pPr>
            <w:r>
              <w:rPr>
                <w:rFonts w:hint="eastAsia"/>
                <w:bCs/>
                <w:szCs w:val="24"/>
              </w:rPr>
              <w:t>5.1、售后服务实施响应 (7分)</w:t>
            </w:r>
            <w:r>
              <w:rPr>
                <w:rFonts w:hint="eastAsia"/>
                <w:szCs w:val="24"/>
              </w:rPr>
              <w:t>：</w:t>
            </w:r>
          </w:p>
          <w:p w14:paraId="7CB03D37">
            <w:pPr>
              <w:keepNext w:val="0"/>
              <w:keepLines w:val="0"/>
              <w:suppressLineNumbers w:val="0"/>
              <w:spacing w:before="0" w:beforeAutospacing="0" w:after="0" w:afterAutospacing="0"/>
              <w:ind w:left="0" w:right="0"/>
              <w:rPr>
                <w:rFonts w:hint="default"/>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C740CA2">
            <w:pPr>
              <w:keepNext w:val="0"/>
              <w:keepLines w:val="0"/>
              <w:suppressLineNumbers w:val="0"/>
              <w:spacing w:before="0" w:beforeAutospacing="0" w:after="0" w:afterAutospacing="0"/>
              <w:ind w:left="0" w:right="0"/>
              <w:rPr>
                <w:rFonts w:hint="default"/>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6AD00BDA">
            <w:pPr>
              <w:keepNext w:val="0"/>
              <w:keepLines w:val="0"/>
              <w:suppressLineNumbers w:val="0"/>
              <w:spacing w:before="0" w:beforeAutospacing="0" w:after="0" w:afterAutospacing="0"/>
              <w:ind w:left="0" w:right="0"/>
              <w:rPr>
                <w:rFonts w:hint="default"/>
                <w:szCs w:val="24"/>
              </w:rPr>
            </w:pPr>
            <w:r>
              <w:rPr>
                <w:rFonts w:hint="eastAsia"/>
                <w:szCs w:val="24"/>
              </w:rPr>
              <w:t>2）售后方案内容详实、考虑较全，对产品质量管控措施要求到位，相关服务承诺内容具体，人员配备齐全、设备配备齐全者得4分；</w:t>
            </w:r>
          </w:p>
          <w:p w14:paraId="3F1B7DD3">
            <w:pPr>
              <w:keepNext w:val="0"/>
              <w:keepLines w:val="0"/>
              <w:suppressLineNumbers w:val="0"/>
              <w:spacing w:before="0" w:beforeAutospacing="0" w:after="0" w:afterAutospacing="0"/>
              <w:ind w:left="0" w:right="0"/>
              <w:rPr>
                <w:rFonts w:hint="default"/>
                <w:color w:val="auto"/>
                <w:szCs w:val="24"/>
              </w:rPr>
            </w:pPr>
            <w:r>
              <w:rPr>
                <w:rFonts w:hint="eastAsia"/>
                <w:color w:val="auto"/>
                <w:szCs w:val="24"/>
              </w:rPr>
              <w:t>3）</w:t>
            </w:r>
            <w:r>
              <w:rPr>
                <w:rFonts w:hint="eastAsia" w:asciiTheme="minorEastAsia" w:hAnsiTheme="minorEastAsia" w:eastAsiaTheme="minorEastAsia" w:cstheme="minorEastAsia"/>
                <w:color w:val="auto"/>
                <w:szCs w:val="21"/>
              </w:rPr>
              <w:t>售后方案表述简单，人员配备有所欠缺、设备配备一般者得</w:t>
            </w:r>
            <w:r>
              <w:rPr>
                <w:rFonts w:hint="default"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分；</w:t>
            </w:r>
          </w:p>
          <w:p w14:paraId="34BA87CF">
            <w:pPr>
              <w:keepNext w:val="0"/>
              <w:keepLines w:val="0"/>
              <w:suppressLineNumbers w:val="0"/>
              <w:spacing w:before="0" w:beforeAutospacing="0" w:after="0" w:afterAutospacing="0"/>
              <w:ind w:left="0" w:right="0"/>
              <w:rPr>
                <w:rFonts w:hint="default"/>
                <w:szCs w:val="24"/>
              </w:rPr>
            </w:pPr>
            <w:r>
              <w:rPr>
                <w:rFonts w:hint="eastAsia"/>
                <w:szCs w:val="24"/>
              </w:rPr>
              <w:t>4）未提供服务方案的不得分。</w:t>
            </w:r>
          </w:p>
          <w:p w14:paraId="1AF0403C">
            <w:pPr>
              <w:keepNext w:val="0"/>
              <w:keepLines w:val="0"/>
              <w:suppressLineNumbers w:val="0"/>
              <w:spacing w:before="0" w:beforeAutospacing="0" w:after="0" w:afterAutospacing="0"/>
              <w:ind w:left="0" w:right="0"/>
              <w:rPr>
                <w:rFonts w:hint="default"/>
                <w:bCs/>
                <w:szCs w:val="24"/>
              </w:rPr>
            </w:pPr>
            <w:r>
              <w:rPr>
                <w:rFonts w:hint="eastAsia"/>
                <w:bCs/>
                <w:szCs w:val="24"/>
              </w:rPr>
              <w:t>5.2、质保期（2分）：</w:t>
            </w:r>
          </w:p>
          <w:p w14:paraId="5972932B">
            <w:pPr>
              <w:keepNext w:val="0"/>
              <w:keepLines w:val="0"/>
              <w:suppressLineNumbers w:val="0"/>
              <w:spacing w:before="0" w:beforeAutospacing="0" w:after="0" w:afterAutospacing="0"/>
              <w:ind w:left="0" w:right="0"/>
              <w:rPr>
                <w:rFonts w:hint="eastAsia"/>
                <w:b w:val="0"/>
                <w:kern w:val="2"/>
                <w:position w:val="0"/>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b w:val="0"/>
                <w:kern w:val="2"/>
                <w:position w:val="0"/>
                <w:szCs w:val="24"/>
                <w:lang w:val="en-US" w:eastAsia="zh-CN"/>
              </w:rPr>
              <w:t>免费质保期基础上每增加一年加1分，最多得2分</w:t>
            </w:r>
            <w:r>
              <w:rPr>
                <w:rFonts w:hint="eastAsia"/>
                <w:b w:val="0"/>
                <w:kern w:val="2"/>
                <w:position w:val="0"/>
                <w:szCs w:val="24"/>
              </w:rPr>
              <w:t>。</w:t>
            </w:r>
          </w:p>
        </w:tc>
      </w:tr>
    </w:tbl>
    <w:p w14:paraId="0298B8D2">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color w:val="000000"/>
          <w:kern w:val="2"/>
          <w:sz w:val="28"/>
          <w:szCs w:val="28"/>
          <w:lang w:val="zh-CN" w:eastAsia="zh-CN" w:bidi="ar-SA"/>
        </w:rPr>
      </w:pPr>
      <w:r>
        <w:rPr>
          <w:rFonts w:hint="eastAsia" w:ascii="宋体" w:hAnsi="宋体" w:eastAsia="宋体" w:cs="宋体"/>
          <w:b/>
          <w:bCs/>
          <w:color w:val="000000"/>
          <w:kern w:val="2"/>
          <w:sz w:val="28"/>
          <w:szCs w:val="28"/>
          <w:lang w:val="zh-CN" w:eastAsia="zh-CN" w:bidi="ar-SA"/>
        </w:rPr>
        <w:t>包二：</w:t>
      </w:r>
    </w:p>
    <w:p w14:paraId="1C09E266">
      <w:pPr>
        <w:keepNext w:val="0"/>
        <w:keepLines w:val="0"/>
        <w:widowControl w:val="0"/>
        <w:suppressLineNumbers w:val="0"/>
        <w:spacing w:before="0" w:beforeAutospacing="0" w:after="0" w:afterAutospacing="0" w:line="360" w:lineRule="auto"/>
        <w:ind w:left="0" w:right="0"/>
        <w:jc w:val="left"/>
        <w:rPr>
          <w:rFonts w:hAnsi="宋体" w:cs="宋体"/>
          <w:bCs/>
          <w:snapToGrid w:val="0"/>
          <w:sz w:val="28"/>
          <w:szCs w:val="28"/>
          <w:lang w:val="en-US"/>
        </w:rPr>
      </w:pPr>
      <w:r>
        <w:rPr>
          <w:rFonts w:hint="eastAsia" w:ascii="Times New Roman" w:hAnsi="宋体" w:eastAsia="宋体" w:cs="宋体"/>
          <w:bCs/>
          <w:snapToGrid w:val="0"/>
          <w:kern w:val="2"/>
          <w:sz w:val="28"/>
          <w:szCs w:val="28"/>
          <w:lang w:val="en-US" w:eastAsia="zh-CN" w:bidi="ar"/>
        </w:rPr>
        <w:t>一、评标方法</w:t>
      </w:r>
    </w:p>
    <w:p w14:paraId="71156245">
      <w:pPr>
        <w:keepNext w:val="0"/>
        <w:keepLines w:val="0"/>
        <w:widowControl w:val="0"/>
        <w:suppressLineNumbers w:val="0"/>
        <w:spacing w:before="0" w:beforeAutospacing="0" w:after="0" w:afterAutospacing="0" w:line="360" w:lineRule="auto"/>
        <w:ind w:left="0" w:right="0" w:firstLine="420"/>
        <w:jc w:val="left"/>
        <w:rPr>
          <w:rFonts w:hAnsi="宋体" w:cs="宋体"/>
          <w:bCs/>
          <w:lang w:val="en-US"/>
        </w:rPr>
      </w:pPr>
      <w:r>
        <w:rPr>
          <w:rFonts w:hint="eastAsia" w:ascii="Times New Roman" w:hAnsi="宋体" w:eastAsia="宋体" w:cs="宋体"/>
          <w:bCs/>
          <w:kern w:val="2"/>
          <w:sz w:val="21"/>
          <w:szCs w:val="24"/>
          <w:lang w:val="en-US" w:eastAsia="zh-CN" w:bidi="ar"/>
        </w:rPr>
        <w:t>评委会将对确定为实质性响应招标文件要求的投标文件进行评价和比较，评标</w:t>
      </w:r>
    </w:p>
    <w:p w14:paraId="105CAB0C">
      <w:pPr>
        <w:keepNext w:val="0"/>
        <w:keepLines w:val="0"/>
        <w:widowControl w:val="0"/>
        <w:suppressLineNumbers w:val="0"/>
        <w:spacing w:before="0" w:beforeAutospacing="0" w:after="0" w:afterAutospacing="0" w:line="360" w:lineRule="auto"/>
        <w:ind w:left="0" w:right="0"/>
        <w:jc w:val="left"/>
        <w:rPr>
          <w:rFonts w:hAnsi="宋体" w:cs="宋体"/>
          <w:bCs/>
          <w:lang w:val="en-US"/>
        </w:rPr>
      </w:pPr>
      <w:r>
        <w:rPr>
          <w:rFonts w:hint="eastAsia" w:ascii="Times New Roman" w:hAnsi="宋体" w:eastAsia="宋体" w:cs="宋体"/>
          <w:bCs/>
          <w:kern w:val="2"/>
          <w:sz w:val="21"/>
          <w:szCs w:val="24"/>
          <w:lang w:val="en-US" w:eastAsia="zh-CN" w:bidi="ar"/>
        </w:rPr>
        <w:t>采用综合评分法。</w:t>
      </w:r>
    </w:p>
    <w:p w14:paraId="6A90171B">
      <w:pPr>
        <w:keepNext w:val="0"/>
        <w:keepLines w:val="0"/>
        <w:widowControl w:val="0"/>
        <w:suppressLineNumbers w:val="0"/>
        <w:spacing w:before="0" w:beforeAutospacing="0" w:after="0" w:afterAutospacing="0" w:line="360" w:lineRule="auto"/>
        <w:ind w:left="0" w:right="0"/>
        <w:jc w:val="left"/>
        <w:rPr>
          <w:lang w:val="en-US"/>
        </w:rPr>
      </w:pPr>
      <w:r>
        <w:rPr>
          <w:rFonts w:hint="eastAsia" w:ascii="Times New Roman" w:hAnsi="宋体" w:eastAsia="宋体" w:cs="宋体"/>
          <w:bCs/>
          <w:snapToGrid w:val="0"/>
          <w:kern w:val="2"/>
          <w:sz w:val="28"/>
          <w:szCs w:val="28"/>
          <w:lang w:val="en-US" w:eastAsia="zh-CN" w:bidi="ar"/>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22"/>
      </w:tblGrid>
      <w:tr w14:paraId="5175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110" w:type="dxa"/>
            <w:tcBorders>
              <w:top w:val="single" w:color="auto" w:sz="4" w:space="0"/>
              <w:left w:val="single" w:color="auto" w:sz="4" w:space="0"/>
              <w:bottom w:val="single" w:color="auto" w:sz="4" w:space="0"/>
              <w:right w:val="single" w:color="auto" w:sz="4" w:space="0"/>
            </w:tcBorders>
            <w:shd w:val="clear" w:color="auto" w:fill="auto"/>
            <w:vAlign w:val="top"/>
          </w:tcPr>
          <w:p w14:paraId="42831847">
            <w:pPr>
              <w:keepNext w:val="0"/>
              <w:keepLines w:val="0"/>
              <w:widowControl w:val="0"/>
              <w:suppressLineNumbers w:val="0"/>
              <w:spacing w:before="0" w:beforeAutospacing="0" w:after="0" w:afterAutospacing="0"/>
              <w:ind w:left="0" w:right="0"/>
              <w:jc w:val="both"/>
              <w:rPr>
                <w:rFonts w:hint="default"/>
                <w:szCs w:val="20"/>
                <w:u w:val="single"/>
                <w:lang w:val="en-US"/>
              </w:rPr>
            </w:pPr>
            <w:r>
              <w:rPr>
                <w:rFonts w:hint="eastAsia" w:ascii="Times New Roman" w:hAnsi="Times New Roman" w:eastAsia="宋体" w:cs="宋体"/>
                <w:kern w:val="2"/>
                <w:sz w:val="21"/>
                <w:szCs w:val="24"/>
                <w:u w:val="single"/>
                <w:lang w:val="en-US" w:eastAsia="zh-CN" w:bidi="ar"/>
              </w:rPr>
              <w:t>综合评估法：具体采用打分法</w:t>
            </w:r>
          </w:p>
          <w:p w14:paraId="37FA26A5">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说明：只有初步评审合格的投标人，才能进入详细评审。初步评审办法详见招标文件。</w:t>
            </w:r>
          </w:p>
          <w:p w14:paraId="56B62CDF">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对于初步评审合格的投标人，本次详细评审采用综合评估法，具体采用打分法，得分最高者为中标候选人，其中：</w:t>
            </w:r>
          </w:p>
          <w:p w14:paraId="794673DA">
            <w:pPr>
              <w:keepNext w:val="0"/>
              <w:keepLines w:val="0"/>
              <w:widowControl w:val="0"/>
              <w:suppressLineNumbers w:val="0"/>
              <w:spacing w:before="0" w:beforeAutospacing="0" w:after="0" w:afterAutospacing="0"/>
              <w:ind w:left="0" w:right="0"/>
              <w:jc w:val="both"/>
              <w:rPr>
                <w:rFonts w:hint="default"/>
                <w:bCs/>
                <w:szCs w:val="20"/>
                <w:lang w:val="en-US"/>
              </w:rPr>
            </w:pPr>
            <w:r>
              <w:rPr>
                <w:rFonts w:hint="default" w:ascii="Times New Roman" w:hAnsi="Times New Roman" w:eastAsia="宋体" w:cs="Times New Roman"/>
                <w:bCs/>
                <w:kern w:val="2"/>
                <w:sz w:val="21"/>
                <w:szCs w:val="24"/>
                <w:lang w:val="en-US" w:eastAsia="zh-CN" w:bidi="ar"/>
              </w:rPr>
              <w:t>1</w:t>
            </w:r>
            <w:r>
              <w:rPr>
                <w:rFonts w:hint="eastAsia" w:ascii="Times New Roman" w:hAnsi="Times New Roman" w:eastAsia="宋体" w:cs="宋体"/>
                <w:bCs/>
                <w:kern w:val="2"/>
                <w:sz w:val="21"/>
                <w:szCs w:val="24"/>
                <w:lang w:val="en-US" w:eastAsia="zh-CN" w:bidi="ar"/>
              </w:rPr>
              <w:t>、报价：</w:t>
            </w:r>
            <w:r>
              <w:rPr>
                <w:rFonts w:hint="default" w:ascii="Times New Roman" w:hAnsi="Times New Roman" w:eastAsia="宋体" w:cs="Times New Roman"/>
                <w:bCs/>
                <w:kern w:val="2"/>
                <w:sz w:val="21"/>
                <w:szCs w:val="24"/>
                <w:lang w:val="en-US" w:eastAsia="zh-CN" w:bidi="ar"/>
              </w:rPr>
              <w:t>30</w:t>
            </w:r>
            <w:r>
              <w:rPr>
                <w:rFonts w:hint="eastAsia" w:ascii="Times New Roman" w:hAnsi="Times New Roman" w:eastAsia="宋体" w:cs="宋体"/>
                <w:bCs/>
                <w:kern w:val="2"/>
                <w:sz w:val="21"/>
                <w:szCs w:val="24"/>
                <w:lang w:val="en-US" w:eastAsia="zh-CN" w:bidi="ar"/>
              </w:rPr>
              <w:t>分</w:t>
            </w:r>
          </w:p>
          <w:p w14:paraId="3AC66171">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bCs/>
                <w:kern w:val="2"/>
                <w:sz w:val="21"/>
                <w:szCs w:val="24"/>
                <w:lang w:val="en-US" w:eastAsia="zh-CN" w:bidi="ar"/>
              </w:rPr>
              <w:t>（</w:t>
            </w:r>
            <w:r>
              <w:rPr>
                <w:rFonts w:hint="eastAsia" w:ascii="Times New Roman" w:hAnsi="Times New Roman" w:eastAsia="宋体" w:cs="宋体"/>
                <w:kern w:val="2"/>
                <w:sz w:val="21"/>
                <w:szCs w:val="24"/>
                <w:lang w:val="en-US" w:eastAsia="zh-CN" w:bidi="ar"/>
              </w:rPr>
              <w:t>价格分采用低价优先法计算，即满足招标文件要求且投标价格最低的投标报价为评标基准价，其他供应商的价格分按照下列公式计算：</w:t>
            </w:r>
          </w:p>
          <w:p w14:paraId="4E4C8208">
            <w:pPr>
              <w:keepNext w:val="0"/>
              <w:keepLines w:val="0"/>
              <w:widowControl w:val="0"/>
              <w:suppressLineNumbers w:val="0"/>
              <w:spacing w:before="0" w:beforeAutospacing="0" w:after="0" w:afterAutospacing="0"/>
              <w:ind w:left="0" w:right="0"/>
              <w:jc w:val="both"/>
              <w:rPr>
                <w:rFonts w:hint="default"/>
                <w:bCs/>
                <w:szCs w:val="20"/>
                <w:lang w:val="en-US"/>
              </w:rPr>
            </w:pPr>
            <w:r>
              <w:rPr>
                <w:rFonts w:hint="eastAsia" w:ascii="Times New Roman" w:hAnsi="Times New Roman" w:eastAsia="宋体" w:cs="宋体"/>
                <w:kern w:val="2"/>
                <w:sz w:val="21"/>
                <w:szCs w:val="24"/>
                <w:lang w:val="en-US" w:eastAsia="zh-CN" w:bidi="ar"/>
              </w:rPr>
              <w:t>价格分</w:t>
            </w:r>
            <w:r>
              <w:rPr>
                <w:rFonts w:hint="default" w:ascii="Times New Roman" w:hAnsi="Times New Roman" w:eastAsia="宋体" w:cs="Times New Roman"/>
                <w:kern w:val="2"/>
                <w:sz w:val="21"/>
                <w:szCs w:val="24"/>
                <w:lang w:val="en-US" w:eastAsia="zh-CN" w:bidi="ar"/>
              </w:rPr>
              <w:t>=</w:t>
            </w:r>
            <w:r>
              <w:rPr>
                <w:rFonts w:hint="eastAsia" w:ascii="Times New Roman" w:hAnsi="Times New Roman" w:eastAsia="宋体" w:cs="宋体"/>
                <w:kern w:val="2"/>
                <w:sz w:val="21"/>
                <w:szCs w:val="24"/>
                <w:lang w:val="en-US" w:eastAsia="zh-CN" w:bidi="ar"/>
              </w:rPr>
              <w:t>（评标基准价</w:t>
            </w:r>
            <w:r>
              <w:rPr>
                <w:rFonts w:hint="default" w:ascii="Times New Roman" w:hAnsi="Times New Roman" w:eastAsia="宋体" w:cs="Times New Roman"/>
                <w:kern w:val="2"/>
                <w:sz w:val="21"/>
                <w:szCs w:val="24"/>
                <w:lang w:val="en-US" w:eastAsia="zh-CN" w:bidi="ar"/>
              </w:rPr>
              <w:t>/</w:t>
            </w:r>
            <w:r>
              <w:rPr>
                <w:rFonts w:hint="eastAsia" w:ascii="Times New Roman" w:hAnsi="Times New Roman" w:eastAsia="宋体" w:cs="宋体"/>
                <w:kern w:val="2"/>
                <w:sz w:val="21"/>
                <w:szCs w:val="24"/>
                <w:lang w:val="en-US" w:eastAsia="zh-CN" w:bidi="ar"/>
              </w:rPr>
              <w:t>投标报价）</w:t>
            </w:r>
            <w:r>
              <w:rPr>
                <w:rFonts w:hint="default" w:ascii="Times New Roman" w:hAnsi="Times New Roman" w:eastAsia="宋体" w:cs="Times New Roman"/>
                <w:kern w:val="2"/>
                <w:sz w:val="21"/>
                <w:szCs w:val="24"/>
                <w:lang w:val="en-US" w:eastAsia="zh-CN" w:bidi="ar"/>
              </w:rPr>
              <w:t>×30</w:t>
            </w:r>
            <w:r>
              <w:rPr>
                <w:rFonts w:hint="eastAsia" w:ascii="Times New Roman" w:hAnsi="Times New Roman" w:eastAsia="宋体" w:cs="宋体"/>
                <w:kern w:val="2"/>
                <w:sz w:val="21"/>
                <w:szCs w:val="24"/>
                <w:lang w:val="en-US" w:eastAsia="zh-CN" w:bidi="ar"/>
              </w:rPr>
              <w:t>（小数点保留两位）</w:t>
            </w:r>
            <w:r>
              <w:rPr>
                <w:rFonts w:hint="eastAsia" w:ascii="Times New Roman" w:hAnsi="Times New Roman" w:eastAsia="宋体" w:cs="宋体"/>
                <w:bCs/>
                <w:kern w:val="2"/>
                <w:sz w:val="21"/>
                <w:szCs w:val="24"/>
                <w:lang w:val="en-US" w:eastAsia="zh-CN" w:bidi="ar"/>
              </w:rPr>
              <w:t>）</w:t>
            </w:r>
          </w:p>
          <w:p w14:paraId="31206E3D">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、技术、性能、配置：</w:t>
            </w:r>
            <w:r>
              <w:rPr>
                <w:rFonts w:hint="default" w:ascii="Times New Roman" w:hAnsi="Times New Roman" w:eastAsia="宋体" w:cs="Times New Roman"/>
                <w:kern w:val="2"/>
                <w:sz w:val="21"/>
                <w:szCs w:val="24"/>
                <w:lang w:val="en-US" w:eastAsia="zh-CN" w:bidi="ar"/>
              </w:rPr>
              <w:t>46</w:t>
            </w:r>
            <w:r>
              <w:rPr>
                <w:rFonts w:hint="eastAsia" w:ascii="Times New Roman" w:hAnsi="Times New Roman" w:eastAsia="宋体" w:cs="宋体"/>
                <w:kern w:val="2"/>
                <w:sz w:val="21"/>
                <w:szCs w:val="24"/>
                <w:lang w:val="en-US" w:eastAsia="zh-CN" w:bidi="ar"/>
              </w:rPr>
              <w:t>分</w:t>
            </w:r>
          </w:p>
          <w:p w14:paraId="7513AC48">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评委根据招标文件中《技术规格及商务要求》，结合投标文件提供的佐证材料等进行评审：</w:t>
            </w:r>
          </w:p>
          <w:p w14:paraId="2A37AFF1">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2.1</w:t>
            </w:r>
            <w:r>
              <w:rPr>
                <w:rFonts w:hint="eastAsia" w:ascii="Times New Roman" w:hAnsi="Times New Roman" w:eastAsia="宋体" w:cs="宋体"/>
                <w:kern w:val="2"/>
                <w:sz w:val="21"/>
                <w:szCs w:val="24"/>
                <w:lang w:val="en-US" w:eastAsia="zh-CN" w:bidi="ar"/>
              </w:rPr>
              <w:t>、全部满足标书基本要求得</w:t>
            </w:r>
            <w:r>
              <w:rPr>
                <w:rFonts w:hint="default" w:ascii="Times New Roman" w:hAnsi="Times New Roman" w:eastAsia="宋体" w:cs="Times New Roman"/>
                <w:kern w:val="2"/>
                <w:sz w:val="21"/>
                <w:szCs w:val="24"/>
                <w:lang w:val="en-US" w:eastAsia="zh-CN" w:bidi="ar"/>
              </w:rPr>
              <w:t>45</w:t>
            </w:r>
            <w:r>
              <w:rPr>
                <w:rFonts w:hint="eastAsia" w:ascii="Times New Roman" w:hAnsi="Times New Roman" w:eastAsia="宋体" w:cs="宋体"/>
                <w:kern w:val="2"/>
                <w:sz w:val="21"/>
                <w:szCs w:val="24"/>
                <w:lang w:val="en-US" w:eastAsia="zh-CN" w:bidi="ar"/>
              </w:rPr>
              <w:t>分，正偏离不加分，有一项★号指标负偏离做废标处理；</w:t>
            </w:r>
          </w:p>
          <w:p w14:paraId="71A06B2C">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2.2</w:t>
            </w:r>
            <w:r>
              <w:rPr>
                <w:rFonts w:hint="eastAsia" w:ascii="Times New Roman" w:hAnsi="Times New Roman" w:eastAsia="宋体" w:cs="宋体"/>
                <w:kern w:val="2"/>
                <w:sz w:val="21"/>
                <w:szCs w:val="24"/>
                <w:lang w:val="en-US" w:eastAsia="zh-CN" w:bidi="ar"/>
              </w:rPr>
              <w:t>、有一项▲号指标负偏离扣</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分；（★号、▲号指标须提供相关证明材料（包括制造商技术白皮书、</w:t>
            </w:r>
            <w:r>
              <w:rPr>
                <w:rFonts w:hint="default" w:ascii="Times New Roman" w:hAnsi="Times New Roman" w:eastAsia="宋体" w:cs="Times New Roman"/>
                <w:kern w:val="2"/>
                <w:sz w:val="21"/>
                <w:szCs w:val="24"/>
                <w:lang w:val="en-US" w:eastAsia="zh-CN" w:bidi="ar"/>
              </w:rPr>
              <w:t>Data Sheet</w:t>
            </w:r>
            <w:r>
              <w:rPr>
                <w:rFonts w:hint="eastAsia" w:ascii="Times New Roman" w:hAnsi="Times New Roman" w:eastAsia="宋体" w:cs="宋体"/>
                <w:kern w:val="2"/>
                <w:sz w:val="21"/>
                <w:szCs w:val="24"/>
                <w:lang w:val="en-US" w:eastAsia="zh-CN" w:bidi="ar"/>
              </w:rPr>
              <w:t>、国家承认的第三方机构出具的检测报告、厂家公开发行的宣传彩页等）并在投标文件技术参数偏离表备注栏中标注相应证明文件页码，未标注页码视为负偏离）</w:t>
            </w:r>
          </w:p>
          <w:p w14:paraId="2D1ADA88">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2.3</w:t>
            </w:r>
            <w:r>
              <w:rPr>
                <w:rFonts w:hint="eastAsia" w:ascii="Times New Roman" w:hAnsi="Times New Roman" w:eastAsia="宋体" w:cs="宋体"/>
                <w:kern w:val="2"/>
                <w:sz w:val="21"/>
                <w:szCs w:val="24"/>
                <w:lang w:val="en-US" w:eastAsia="zh-CN" w:bidi="ar"/>
              </w:rPr>
              <w:t>、非★、▲号指标每负偏离一项扣</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分，扣完为止。</w:t>
            </w:r>
          </w:p>
          <w:p w14:paraId="5C58B8F9">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、技术培训方案</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分</w:t>
            </w:r>
            <w:r>
              <w:rPr>
                <w:rFonts w:hint="default" w:ascii="Times New Roman" w:hAnsi="Times New Roman" w:eastAsia="宋体" w:cs="Times New Roman"/>
                <w:kern w:val="2"/>
                <w:sz w:val="21"/>
                <w:szCs w:val="24"/>
                <w:lang w:val="en-US" w:eastAsia="zh-CN" w:bidi="ar"/>
              </w:rPr>
              <w:t>)</w:t>
            </w:r>
          </w:p>
          <w:p w14:paraId="443F478D">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供应商提供对用户的操作培训、业务功能培训等相关培训计划方案，除正常操作培训外，针对甲方是教学培训单位的特点，提出其他技术培训保障方案；</w:t>
            </w:r>
          </w:p>
          <w:p w14:paraId="081401D1">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3.1</w:t>
            </w:r>
            <w:r>
              <w:rPr>
                <w:rFonts w:hint="eastAsia" w:ascii="Times New Roman" w:hAnsi="Times New Roman" w:eastAsia="宋体" w:cs="宋体"/>
                <w:kern w:val="2"/>
                <w:sz w:val="21"/>
                <w:szCs w:val="24"/>
                <w:lang w:val="en-US" w:eastAsia="zh-CN" w:bidi="ar"/>
              </w:rPr>
              <w:t>、技术培训保障方案内容详实、科学、合理，考虑周全，培训计划针对性强、内容详实，培训人员配备齐全、技术水平高、分工明确、岗位设置科学合理，培训率承诺高，得</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分。</w:t>
            </w:r>
          </w:p>
          <w:p w14:paraId="689722A3">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3.2</w:t>
            </w:r>
            <w:r>
              <w:rPr>
                <w:rFonts w:hint="eastAsia" w:ascii="Times New Roman" w:hAnsi="Times New Roman" w:eastAsia="宋体" w:cs="宋体"/>
                <w:kern w:val="2"/>
                <w:sz w:val="21"/>
                <w:szCs w:val="24"/>
                <w:lang w:val="en-US" w:eastAsia="zh-CN" w:bidi="ar"/>
              </w:rPr>
              <w:t>、技术培训保障方案内容详实、考虑较全，培训计划具体，培训人员齐全，培训率承诺较高，得</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分。</w:t>
            </w:r>
          </w:p>
          <w:p w14:paraId="678B8E53">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3.3</w:t>
            </w:r>
            <w:r>
              <w:rPr>
                <w:rFonts w:hint="eastAsia" w:ascii="Times New Roman" w:hAnsi="Times New Roman" w:eastAsia="宋体" w:cs="宋体"/>
                <w:kern w:val="2"/>
                <w:sz w:val="21"/>
                <w:szCs w:val="24"/>
                <w:lang w:val="en-US" w:eastAsia="zh-CN" w:bidi="ar"/>
              </w:rPr>
              <w:t>．技术培训保障方案表述简单，培训计划简单、培训人员较少，培训率承诺一般，得</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分。</w:t>
            </w:r>
          </w:p>
          <w:p w14:paraId="32525711">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3.4</w:t>
            </w:r>
            <w:r>
              <w:rPr>
                <w:rFonts w:hint="eastAsia" w:ascii="Times New Roman" w:hAnsi="Times New Roman" w:eastAsia="宋体" w:cs="宋体"/>
                <w:kern w:val="2"/>
                <w:sz w:val="21"/>
                <w:szCs w:val="24"/>
                <w:lang w:val="en-US" w:eastAsia="zh-CN" w:bidi="ar"/>
              </w:rPr>
              <w:t>．未提供方案或方案无可行性不得分。</w:t>
            </w:r>
          </w:p>
          <w:p w14:paraId="23E09D1D">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、业绩：</w:t>
            </w:r>
            <w:r>
              <w:rPr>
                <w:rFonts w:hint="default" w:ascii="Times New Roman" w:hAnsi="Times New Roman" w:eastAsia="宋体" w:cs="Times New Roman"/>
                <w:kern w:val="2"/>
                <w:sz w:val="21"/>
                <w:szCs w:val="24"/>
                <w:lang w:val="en-US" w:eastAsia="zh-CN" w:bidi="ar"/>
              </w:rPr>
              <w:t>10</w:t>
            </w:r>
            <w:r>
              <w:rPr>
                <w:rFonts w:hint="eastAsia" w:ascii="Times New Roman" w:hAnsi="Times New Roman" w:eastAsia="宋体" w:cs="宋体"/>
                <w:kern w:val="2"/>
                <w:sz w:val="21"/>
                <w:szCs w:val="24"/>
                <w:lang w:val="en-US" w:eastAsia="zh-CN" w:bidi="ar"/>
              </w:rPr>
              <w:t>分</w:t>
            </w:r>
          </w:p>
          <w:p w14:paraId="10019226">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提供投标产品的制造商或其代理商</w:t>
            </w:r>
            <w:r>
              <w:rPr>
                <w:rFonts w:hint="default" w:ascii="Times New Roman" w:hAnsi="Times New Roman" w:eastAsia="宋体" w:cs="Times New Roman"/>
                <w:kern w:val="2"/>
                <w:sz w:val="21"/>
                <w:szCs w:val="24"/>
                <w:lang w:val="en-US" w:eastAsia="zh-CN" w:bidi="ar"/>
              </w:rPr>
              <w:t>2022</w:t>
            </w:r>
            <w:r>
              <w:rPr>
                <w:rFonts w:hint="eastAsia" w:ascii="Times New Roman" w:hAnsi="Times New Roman" w:eastAsia="宋体" w:cs="宋体"/>
                <w:kern w:val="2"/>
                <w:sz w:val="21"/>
                <w:szCs w:val="24"/>
                <w:lang w:val="en-US" w:eastAsia="zh-CN" w:bidi="ar"/>
              </w:rPr>
              <w:t>年至今同品牌同型号的业绩证明文件（销售合同复印件），每提供</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份合同得</w:t>
            </w:r>
            <w:r>
              <w:rPr>
                <w:rFonts w:hint="default" w:ascii="Times New Roman" w:hAnsi="Times New Roman" w:eastAsia="宋体" w:cs="Times New Roman"/>
                <w:kern w:val="2"/>
                <w:sz w:val="21"/>
                <w:szCs w:val="24"/>
                <w:lang w:val="en-US" w:eastAsia="zh-CN" w:bidi="ar"/>
              </w:rPr>
              <w:t>2.5</w:t>
            </w:r>
            <w:r>
              <w:rPr>
                <w:rFonts w:hint="eastAsia" w:ascii="Times New Roman" w:hAnsi="Times New Roman" w:eastAsia="宋体" w:cs="宋体"/>
                <w:kern w:val="2"/>
                <w:sz w:val="21"/>
                <w:szCs w:val="24"/>
                <w:lang w:val="en-US" w:eastAsia="zh-CN" w:bidi="ar"/>
              </w:rPr>
              <w:t>分，最多得</w:t>
            </w:r>
            <w:r>
              <w:rPr>
                <w:rFonts w:hint="default" w:ascii="Times New Roman" w:hAnsi="Times New Roman" w:eastAsia="宋体" w:cs="Times New Roman"/>
                <w:kern w:val="2"/>
                <w:sz w:val="21"/>
                <w:szCs w:val="24"/>
                <w:lang w:val="en-US" w:eastAsia="zh-CN" w:bidi="ar"/>
              </w:rPr>
              <w:t>10</w:t>
            </w:r>
            <w:r>
              <w:rPr>
                <w:rFonts w:hint="eastAsia" w:ascii="Times New Roman" w:hAnsi="Times New Roman" w:eastAsia="宋体" w:cs="宋体"/>
                <w:kern w:val="2"/>
                <w:sz w:val="21"/>
                <w:szCs w:val="24"/>
                <w:lang w:val="en-US" w:eastAsia="zh-CN" w:bidi="ar"/>
              </w:rPr>
              <w:t>分。未提供合同或合同型号不一致、关键页不清晰者，该项不得分。</w:t>
            </w:r>
          </w:p>
          <w:p w14:paraId="6CF65CBA">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、售后服务：</w:t>
            </w:r>
            <w:r>
              <w:rPr>
                <w:rFonts w:hint="default" w:ascii="Times New Roman" w:hAnsi="Times New Roman" w:eastAsia="宋体" w:cs="Times New Roman"/>
                <w:kern w:val="2"/>
                <w:sz w:val="21"/>
                <w:szCs w:val="24"/>
                <w:lang w:val="en-US" w:eastAsia="zh-CN" w:bidi="ar"/>
              </w:rPr>
              <w:t>9</w:t>
            </w:r>
            <w:r>
              <w:rPr>
                <w:rFonts w:hint="eastAsia" w:ascii="Times New Roman" w:hAnsi="Times New Roman" w:eastAsia="宋体" w:cs="宋体"/>
                <w:kern w:val="2"/>
                <w:sz w:val="21"/>
                <w:szCs w:val="24"/>
                <w:lang w:val="en-US" w:eastAsia="zh-CN" w:bidi="ar"/>
              </w:rPr>
              <w:t>分</w:t>
            </w:r>
          </w:p>
          <w:p w14:paraId="4F07D34D">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bCs/>
                <w:kern w:val="2"/>
                <w:sz w:val="21"/>
                <w:szCs w:val="24"/>
                <w:lang w:val="en-US" w:eastAsia="zh-CN" w:bidi="ar"/>
              </w:rPr>
              <w:t>5.1</w:t>
            </w:r>
            <w:r>
              <w:rPr>
                <w:rFonts w:hint="eastAsia" w:ascii="Times New Roman" w:hAnsi="Times New Roman" w:eastAsia="宋体" w:cs="宋体"/>
                <w:bCs/>
                <w:kern w:val="2"/>
                <w:sz w:val="21"/>
                <w:szCs w:val="24"/>
                <w:lang w:val="en-US" w:eastAsia="zh-CN" w:bidi="ar"/>
              </w:rPr>
              <w:t>、售后服务实施响应</w:t>
            </w:r>
            <w:r>
              <w:rPr>
                <w:rFonts w:hint="default" w:ascii="Times New Roman" w:hAnsi="Times New Roman" w:eastAsia="宋体" w:cs="Times New Roman"/>
                <w:bCs/>
                <w:kern w:val="2"/>
                <w:sz w:val="21"/>
                <w:szCs w:val="24"/>
                <w:lang w:val="en-US" w:eastAsia="zh-CN" w:bidi="ar"/>
              </w:rPr>
              <w:t xml:space="preserve"> (7</w:t>
            </w:r>
            <w:r>
              <w:rPr>
                <w:rFonts w:hint="eastAsia" w:ascii="Times New Roman" w:hAnsi="Times New Roman" w:eastAsia="宋体" w:cs="宋体"/>
                <w:bCs/>
                <w:kern w:val="2"/>
                <w:sz w:val="21"/>
                <w:szCs w:val="24"/>
                <w:lang w:val="en-US" w:eastAsia="zh-CN" w:bidi="ar"/>
              </w:rPr>
              <w:t>分</w:t>
            </w:r>
            <w:r>
              <w:rPr>
                <w:rFonts w:hint="default" w:ascii="Times New Roman" w:hAnsi="Times New Roman" w:eastAsia="宋体" w:cs="Times New Roman"/>
                <w:bCs/>
                <w:kern w:val="2"/>
                <w:sz w:val="21"/>
                <w:szCs w:val="24"/>
                <w:lang w:val="en-US" w:eastAsia="zh-CN" w:bidi="ar"/>
              </w:rPr>
              <w:t>)</w:t>
            </w:r>
            <w:r>
              <w:rPr>
                <w:rFonts w:hint="eastAsia" w:ascii="Times New Roman" w:hAnsi="Times New Roman" w:eastAsia="宋体" w:cs="宋体"/>
                <w:kern w:val="2"/>
                <w:sz w:val="21"/>
                <w:szCs w:val="24"/>
                <w:lang w:val="en-US" w:eastAsia="zh-CN" w:bidi="ar"/>
              </w:rPr>
              <w:t>：</w:t>
            </w:r>
          </w:p>
          <w:p w14:paraId="11B44D51">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根据投标人质保期内售后服务（响应时间，回访巡检方案、故障解决措施、技术人员保障、备品配件价格等）、本地化服务方案（江苏省内各服务网点、维修网点设置情况以及技术人员安排情况）等服务内容，</w:t>
            </w:r>
          </w:p>
          <w:p w14:paraId="0B491D44">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）售后方案内容详实、科学、合理，考虑周全，对产品质量管控措施要求全面到位，相关服务承诺内容详实，人员配备齐全，分工明确、岗位设置科学合理，人员配备齐全、设备配备齐全、先进者得</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宋体"/>
                <w:kern w:val="2"/>
                <w:sz w:val="21"/>
                <w:szCs w:val="24"/>
                <w:lang w:val="en-US" w:eastAsia="zh-CN" w:bidi="ar"/>
              </w:rPr>
              <w:t>分；</w:t>
            </w:r>
          </w:p>
          <w:p w14:paraId="1F85C5BB">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）售后方案内容详实、考虑较全，对产品质量管控措施要求到位，相关服务承诺内容具体，人员配备齐全、设备配备齐全者得</w:t>
            </w: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分；</w:t>
            </w:r>
          </w:p>
          <w:p w14:paraId="7B5D7D77">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1"/>
                <w:lang w:val="en-US" w:eastAsia="zh-CN" w:bidi="ar"/>
              </w:rPr>
              <w:t>售后方案表述简单，人员配备有所欠缺、设备配备一般者得1分；</w:t>
            </w:r>
          </w:p>
          <w:p w14:paraId="0E33C469">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）未提供服务方案的不得分。</w:t>
            </w:r>
          </w:p>
          <w:p w14:paraId="18A2AD3B">
            <w:pPr>
              <w:keepNext w:val="0"/>
              <w:keepLines w:val="0"/>
              <w:widowControl w:val="0"/>
              <w:suppressLineNumbers w:val="0"/>
              <w:spacing w:before="0" w:beforeAutospacing="0" w:after="0" w:afterAutospacing="0"/>
              <w:ind w:left="0" w:right="0"/>
              <w:jc w:val="both"/>
              <w:rPr>
                <w:rFonts w:hint="default"/>
                <w:bCs/>
                <w:szCs w:val="20"/>
                <w:lang w:val="en-US"/>
              </w:rPr>
            </w:pPr>
            <w:r>
              <w:rPr>
                <w:rFonts w:hint="default" w:ascii="Times New Roman" w:hAnsi="Times New Roman" w:eastAsia="宋体" w:cs="Times New Roman"/>
                <w:bCs/>
                <w:kern w:val="2"/>
                <w:sz w:val="21"/>
                <w:szCs w:val="24"/>
                <w:lang w:val="en-US" w:eastAsia="zh-CN" w:bidi="ar"/>
              </w:rPr>
              <w:t>5.2</w:t>
            </w:r>
            <w:r>
              <w:rPr>
                <w:rFonts w:hint="eastAsia" w:ascii="Times New Roman" w:hAnsi="Times New Roman" w:eastAsia="宋体" w:cs="宋体"/>
                <w:bCs/>
                <w:kern w:val="2"/>
                <w:sz w:val="21"/>
                <w:szCs w:val="24"/>
                <w:lang w:val="en-US" w:eastAsia="zh-CN" w:bidi="ar"/>
              </w:rPr>
              <w:t>、质保期（</w:t>
            </w:r>
            <w:r>
              <w:rPr>
                <w:rFonts w:hint="default" w:ascii="Times New Roman" w:hAnsi="Times New Roman" w:eastAsia="宋体" w:cs="Times New Roman"/>
                <w:bCs/>
                <w:kern w:val="2"/>
                <w:sz w:val="21"/>
                <w:szCs w:val="24"/>
                <w:lang w:val="en-US" w:eastAsia="zh-CN" w:bidi="ar"/>
              </w:rPr>
              <w:t>2</w:t>
            </w:r>
            <w:r>
              <w:rPr>
                <w:rFonts w:hint="eastAsia" w:ascii="Times New Roman" w:hAnsi="Times New Roman" w:eastAsia="宋体" w:cs="宋体"/>
                <w:bCs/>
                <w:kern w:val="2"/>
                <w:sz w:val="21"/>
                <w:szCs w:val="24"/>
                <w:lang w:val="en-US" w:eastAsia="zh-CN" w:bidi="ar"/>
              </w:rPr>
              <w:t>分）：</w:t>
            </w:r>
          </w:p>
          <w:p w14:paraId="7BC7E8E1">
            <w:pPr>
              <w:keepNext w:val="0"/>
              <w:keepLines w:val="0"/>
              <w:widowControl w:val="0"/>
              <w:suppressLineNumbers w:val="0"/>
              <w:spacing w:before="0" w:beforeAutospacing="0" w:after="0" w:afterAutospacing="0"/>
              <w:ind w:left="0" w:right="0"/>
              <w:jc w:val="both"/>
              <w:rPr>
                <w:rFonts w:hint="default"/>
                <w:szCs w:val="20"/>
                <w:lang w:val="en-US"/>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b w:val="0"/>
                <w:kern w:val="2"/>
                <w:position w:val="0"/>
                <w:szCs w:val="24"/>
                <w:lang w:val="en-US" w:eastAsia="zh-CN"/>
              </w:rPr>
              <w:t>免费质保期基础上每增加一年加1分，最多得2分</w:t>
            </w:r>
            <w:r>
              <w:rPr>
                <w:rFonts w:hint="eastAsia"/>
                <w:b w:val="0"/>
                <w:kern w:val="2"/>
                <w:position w:val="0"/>
                <w:szCs w:val="24"/>
              </w:rPr>
              <w:t>。</w:t>
            </w:r>
          </w:p>
        </w:tc>
      </w:tr>
    </w:tbl>
    <w:p w14:paraId="517B4499">
      <w:pPr>
        <w:rPr>
          <w:rFonts w:hint="eastAsia" w:ascii="宋体" w:hAnsi="宋体" w:eastAsia="宋体" w:cs="宋体"/>
          <w:b/>
          <w:bCs/>
          <w:color w:val="000000"/>
          <w:kern w:val="2"/>
          <w:sz w:val="28"/>
          <w:szCs w:val="28"/>
          <w:lang w:val="zh-CN" w:eastAsia="zh-CN" w:bidi="ar-SA"/>
        </w:rPr>
      </w:pPr>
      <w:r>
        <w:rPr>
          <w:rFonts w:hint="eastAsia" w:ascii="宋体" w:hAnsi="宋体" w:eastAsia="宋体" w:cs="宋体"/>
          <w:b/>
          <w:bCs/>
          <w:color w:val="000000"/>
          <w:kern w:val="2"/>
          <w:sz w:val="28"/>
          <w:szCs w:val="28"/>
          <w:lang w:val="zh-CN" w:eastAsia="zh-CN" w:bidi="ar-SA"/>
        </w:rPr>
        <w:t>包三：</w:t>
      </w:r>
    </w:p>
    <w:p w14:paraId="22537451">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48498339">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2E890FD6">
      <w:pPr>
        <w:spacing w:line="360" w:lineRule="auto"/>
        <w:jc w:val="left"/>
        <w:rPr>
          <w:rFonts w:hAnsi="宋体" w:cs="宋体"/>
          <w:b w:val="0"/>
          <w:bCs/>
        </w:rPr>
      </w:pPr>
      <w:r>
        <w:rPr>
          <w:rFonts w:hint="eastAsia" w:hAnsi="宋体" w:cs="宋体"/>
          <w:b w:val="0"/>
          <w:bCs/>
        </w:rPr>
        <w:t>采用综合评分法。</w:t>
      </w:r>
    </w:p>
    <w:p w14:paraId="16938856">
      <w:pPr>
        <w:spacing w:line="360" w:lineRule="auto"/>
        <w:jc w:val="left"/>
      </w:pPr>
      <w:r>
        <w:rPr>
          <w:rFonts w:hint="eastAsia" w:hAnsi="宋体" w:cs="宋体"/>
          <w:b w:val="0"/>
          <w:bCs/>
          <w:snapToGrid w:val="0"/>
          <w:sz w:val="28"/>
          <w:szCs w:val="28"/>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B20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463C23DC">
            <w:pPr>
              <w:keepNext w:val="0"/>
              <w:keepLines w:val="0"/>
              <w:widowControl w:val="0"/>
              <w:suppressLineNumbers w:val="0"/>
              <w:spacing w:before="0" w:beforeAutospacing="0" w:after="0" w:afterAutospacing="0"/>
              <w:ind w:left="0" w:right="0"/>
              <w:jc w:val="both"/>
              <w:rPr>
                <w:rFonts w:hint="default"/>
                <w:szCs w:val="20"/>
                <w:u w:val="single"/>
                <w:lang w:val="en-US"/>
              </w:rPr>
            </w:pPr>
            <w:r>
              <w:rPr>
                <w:rFonts w:hint="eastAsia" w:ascii="Times New Roman" w:hAnsi="Times New Roman" w:eastAsia="宋体" w:cs="宋体"/>
                <w:kern w:val="2"/>
                <w:sz w:val="21"/>
                <w:szCs w:val="24"/>
                <w:u w:val="single"/>
                <w:lang w:val="en-US" w:eastAsia="zh-CN" w:bidi="ar"/>
              </w:rPr>
              <w:t>综合评估法：具体采用打分法</w:t>
            </w:r>
          </w:p>
          <w:p w14:paraId="2C2CC76F">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说明：只有初步评审合格的投标人，才能进入详细评审。初步评审办法详见招标文件。</w:t>
            </w:r>
          </w:p>
          <w:p w14:paraId="62AB7268">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对于初步评审合格的投标人，本次详细评审采用综合评估法，具体采用打分法，得分最高者为中标候选人，其中：</w:t>
            </w:r>
          </w:p>
          <w:p w14:paraId="7A806872">
            <w:pPr>
              <w:keepNext w:val="0"/>
              <w:keepLines w:val="0"/>
              <w:widowControl w:val="0"/>
              <w:suppressLineNumbers w:val="0"/>
              <w:spacing w:before="0" w:beforeAutospacing="0" w:after="0" w:afterAutospacing="0"/>
              <w:ind w:left="0" w:right="0"/>
              <w:jc w:val="both"/>
              <w:rPr>
                <w:rFonts w:hint="default"/>
                <w:bCs/>
                <w:szCs w:val="20"/>
                <w:lang w:val="en-US"/>
              </w:rPr>
            </w:pPr>
            <w:r>
              <w:rPr>
                <w:rFonts w:hint="default" w:ascii="Times New Roman" w:hAnsi="Times New Roman" w:eastAsia="宋体" w:cs="Times New Roman"/>
                <w:bCs/>
                <w:kern w:val="2"/>
                <w:sz w:val="21"/>
                <w:szCs w:val="24"/>
                <w:lang w:val="en-US" w:eastAsia="zh-CN" w:bidi="ar"/>
              </w:rPr>
              <w:t>1</w:t>
            </w:r>
            <w:r>
              <w:rPr>
                <w:rFonts w:hint="eastAsia" w:ascii="Times New Roman" w:hAnsi="Times New Roman" w:eastAsia="宋体" w:cs="宋体"/>
                <w:bCs/>
                <w:kern w:val="2"/>
                <w:sz w:val="21"/>
                <w:szCs w:val="24"/>
                <w:lang w:val="en-US" w:eastAsia="zh-CN" w:bidi="ar"/>
              </w:rPr>
              <w:t>、报价：</w:t>
            </w:r>
            <w:r>
              <w:rPr>
                <w:rFonts w:hint="default" w:ascii="Times New Roman" w:hAnsi="Times New Roman" w:eastAsia="宋体" w:cs="Times New Roman"/>
                <w:bCs/>
                <w:kern w:val="2"/>
                <w:sz w:val="21"/>
                <w:szCs w:val="24"/>
                <w:lang w:val="en-US" w:eastAsia="zh-CN" w:bidi="ar"/>
              </w:rPr>
              <w:t>30</w:t>
            </w:r>
            <w:r>
              <w:rPr>
                <w:rFonts w:hint="eastAsia" w:ascii="Times New Roman" w:hAnsi="Times New Roman" w:eastAsia="宋体" w:cs="宋体"/>
                <w:bCs/>
                <w:kern w:val="2"/>
                <w:sz w:val="21"/>
                <w:szCs w:val="24"/>
                <w:lang w:val="en-US" w:eastAsia="zh-CN" w:bidi="ar"/>
              </w:rPr>
              <w:t>分</w:t>
            </w:r>
          </w:p>
          <w:p w14:paraId="359829E3">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bCs/>
                <w:kern w:val="2"/>
                <w:sz w:val="21"/>
                <w:szCs w:val="24"/>
                <w:lang w:val="en-US" w:eastAsia="zh-CN" w:bidi="ar"/>
              </w:rPr>
              <w:t>（</w:t>
            </w:r>
            <w:r>
              <w:rPr>
                <w:rFonts w:hint="eastAsia" w:ascii="Times New Roman" w:hAnsi="Times New Roman" w:eastAsia="宋体" w:cs="宋体"/>
                <w:kern w:val="2"/>
                <w:sz w:val="21"/>
                <w:szCs w:val="24"/>
                <w:lang w:val="en-US" w:eastAsia="zh-CN" w:bidi="ar"/>
              </w:rPr>
              <w:t>价格分采用低价优先法计算，即满足招标文件要求且投标价格最低的投标报价为评标基准价，其他供应商的价格分按照下列公式计算：</w:t>
            </w:r>
          </w:p>
          <w:p w14:paraId="517FD4BF">
            <w:pPr>
              <w:keepNext w:val="0"/>
              <w:keepLines w:val="0"/>
              <w:widowControl w:val="0"/>
              <w:suppressLineNumbers w:val="0"/>
              <w:spacing w:before="0" w:beforeAutospacing="0" w:after="0" w:afterAutospacing="0"/>
              <w:ind w:left="0" w:right="0"/>
              <w:jc w:val="both"/>
              <w:rPr>
                <w:rFonts w:hint="default"/>
                <w:bCs/>
                <w:szCs w:val="20"/>
                <w:lang w:val="en-US"/>
              </w:rPr>
            </w:pPr>
            <w:r>
              <w:rPr>
                <w:rFonts w:hint="eastAsia" w:ascii="Times New Roman" w:hAnsi="Times New Roman" w:eastAsia="宋体" w:cs="宋体"/>
                <w:kern w:val="2"/>
                <w:sz w:val="21"/>
                <w:szCs w:val="24"/>
                <w:lang w:val="en-US" w:eastAsia="zh-CN" w:bidi="ar"/>
              </w:rPr>
              <w:t>价格分</w:t>
            </w:r>
            <w:r>
              <w:rPr>
                <w:rFonts w:hint="default" w:ascii="Times New Roman" w:hAnsi="Times New Roman" w:eastAsia="宋体" w:cs="Times New Roman"/>
                <w:kern w:val="2"/>
                <w:sz w:val="21"/>
                <w:szCs w:val="24"/>
                <w:lang w:val="en-US" w:eastAsia="zh-CN" w:bidi="ar"/>
              </w:rPr>
              <w:t>=</w:t>
            </w:r>
            <w:r>
              <w:rPr>
                <w:rFonts w:hint="eastAsia" w:ascii="Times New Roman" w:hAnsi="Times New Roman" w:eastAsia="宋体" w:cs="宋体"/>
                <w:kern w:val="2"/>
                <w:sz w:val="21"/>
                <w:szCs w:val="24"/>
                <w:lang w:val="en-US" w:eastAsia="zh-CN" w:bidi="ar"/>
              </w:rPr>
              <w:t>（评标基准价</w:t>
            </w:r>
            <w:r>
              <w:rPr>
                <w:rFonts w:hint="default" w:ascii="Times New Roman" w:hAnsi="Times New Roman" w:eastAsia="宋体" w:cs="Times New Roman"/>
                <w:kern w:val="2"/>
                <w:sz w:val="21"/>
                <w:szCs w:val="24"/>
                <w:lang w:val="en-US" w:eastAsia="zh-CN" w:bidi="ar"/>
              </w:rPr>
              <w:t>/</w:t>
            </w:r>
            <w:r>
              <w:rPr>
                <w:rFonts w:hint="eastAsia" w:ascii="Times New Roman" w:hAnsi="Times New Roman" w:eastAsia="宋体" w:cs="宋体"/>
                <w:kern w:val="2"/>
                <w:sz w:val="21"/>
                <w:szCs w:val="24"/>
                <w:lang w:val="en-US" w:eastAsia="zh-CN" w:bidi="ar"/>
              </w:rPr>
              <w:t>投标报价）</w:t>
            </w:r>
            <w:r>
              <w:rPr>
                <w:rFonts w:hint="default" w:ascii="Times New Roman" w:hAnsi="Times New Roman" w:eastAsia="宋体" w:cs="Times New Roman"/>
                <w:kern w:val="2"/>
                <w:sz w:val="21"/>
                <w:szCs w:val="24"/>
                <w:lang w:val="en-US" w:eastAsia="zh-CN" w:bidi="ar"/>
              </w:rPr>
              <w:t>×30</w:t>
            </w:r>
            <w:r>
              <w:rPr>
                <w:rFonts w:hint="eastAsia" w:ascii="Times New Roman" w:hAnsi="Times New Roman" w:eastAsia="宋体" w:cs="宋体"/>
                <w:kern w:val="2"/>
                <w:sz w:val="21"/>
                <w:szCs w:val="24"/>
                <w:lang w:val="en-US" w:eastAsia="zh-CN" w:bidi="ar"/>
              </w:rPr>
              <w:t>（小数点保留两位）</w:t>
            </w:r>
            <w:r>
              <w:rPr>
                <w:rFonts w:hint="eastAsia" w:ascii="Times New Roman" w:hAnsi="Times New Roman" w:eastAsia="宋体" w:cs="宋体"/>
                <w:bCs/>
                <w:kern w:val="2"/>
                <w:sz w:val="21"/>
                <w:szCs w:val="24"/>
                <w:lang w:val="en-US" w:eastAsia="zh-CN" w:bidi="ar"/>
              </w:rPr>
              <w:t>）</w:t>
            </w:r>
          </w:p>
          <w:p w14:paraId="17E11B2E">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、技术、性能、配置：</w:t>
            </w:r>
            <w:r>
              <w:rPr>
                <w:rFonts w:hint="default" w:ascii="Times New Roman" w:hAnsi="Times New Roman" w:eastAsia="宋体" w:cs="Times New Roman"/>
                <w:kern w:val="2"/>
                <w:sz w:val="21"/>
                <w:szCs w:val="24"/>
                <w:lang w:val="en-US" w:eastAsia="zh-CN" w:bidi="ar"/>
              </w:rPr>
              <w:t>46</w:t>
            </w:r>
            <w:r>
              <w:rPr>
                <w:rFonts w:hint="eastAsia" w:ascii="Times New Roman" w:hAnsi="Times New Roman" w:eastAsia="宋体" w:cs="宋体"/>
                <w:kern w:val="2"/>
                <w:sz w:val="21"/>
                <w:szCs w:val="24"/>
                <w:lang w:val="en-US" w:eastAsia="zh-CN" w:bidi="ar"/>
              </w:rPr>
              <w:t>分</w:t>
            </w:r>
          </w:p>
          <w:p w14:paraId="7F463C24">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评委根据招标文件中《技术规格及商务要求》，结合投标文件提供的佐证材料等进行评审：</w:t>
            </w:r>
          </w:p>
          <w:p w14:paraId="16DFB10F">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2.1</w:t>
            </w:r>
            <w:r>
              <w:rPr>
                <w:rFonts w:hint="eastAsia" w:ascii="Times New Roman" w:hAnsi="Times New Roman" w:eastAsia="宋体" w:cs="宋体"/>
                <w:kern w:val="2"/>
                <w:sz w:val="21"/>
                <w:szCs w:val="24"/>
                <w:lang w:val="en-US" w:eastAsia="zh-CN" w:bidi="ar"/>
              </w:rPr>
              <w:t>、全部满足标书基本要求得</w:t>
            </w:r>
            <w:r>
              <w:rPr>
                <w:rFonts w:hint="default" w:ascii="Times New Roman" w:hAnsi="Times New Roman" w:eastAsia="宋体" w:cs="Times New Roman"/>
                <w:kern w:val="2"/>
                <w:sz w:val="21"/>
                <w:szCs w:val="24"/>
                <w:lang w:val="en-US" w:eastAsia="zh-CN" w:bidi="ar"/>
              </w:rPr>
              <w:t>45</w:t>
            </w:r>
            <w:r>
              <w:rPr>
                <w:rFonts w:hint="eastAsia" w:ascii="Times New Roman" w:hAnsi="Times New Roman" w:eastAsia="宋体" w:cs="宋体"/>
                <w:kern w:val="2"/>
                <w:sz w:val="21"/>
                <w:szCs w:val="24"/>
                <w:lang w:val="en-US" w:eastAsia="zh-CN" w:bidi="ar"/>
              </w:rPr>
              <w:t>分，正偏离不加分，有一项★号指标负偏离做废标处理；</w:t>
            </w:r>
          </w:p>
          <w:p w14:paraId="6CCD1545">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2.2</w:t>
            </w:r>
            <w:r>
              <w:rPr>
                <w:rFonts w:hint="eastAsia" w:ascii="Times New Roman" w:hAnsi="Times New Roman" w:eastAsia="宋体" w:cs="宋体"/>
                <w:kern w:val="2"/>
                <w:sz w:val="21"/>
                <w:szCs w:val="24"/>
                <w:lang w:val="en-US" w:eastAsia="zh-CN" w:bidi="ar"/>
              </w:rPr>
              <w:t>、有一项▲号指标负偏离扣</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分；（★号、▲号指标须提供相关证明材料（包括制造商技术白皮书、</w:t>
            </w:r>
            <w:r>
              <w:rPr>
                <w:rFonts w:hint="default" w:ascii="Times New Roman" w:hAnsi="Times New Roman" w:eastAsia="宋体" w:cs="Times New Roman"/>
                <w:kern w:val="2"/>
                <w:sz w:val="21"/>
                <w:szCs w:val="24"/>
                <w:lang w:val="en-US" w:eastAsia="zh-CN" w:bidi="ar"/>
              </w:rPr>
              <w:t>Data Sheet</w:t>
            </w:r>
            <w:r>
              <w:rPr>
                <w:rFonts w:hint="eastAsia" w:ascii="Times New Roman" w:hAnsi="Times New Roman" w:eastAsia="宋体" w:cs="宋体"/>
                <w:kern w:val="2"/>
                <w:sz w:val="21"/>
                <w:szCs w:val="24"/>
                <w:lang w:val="en-US" w:eastAsia="zh-CN" w:bidi="ar"/>
              </w:rPr>
              <w:t>、国家承认的第三方机构出具的检测报告、厂家公开发行的宣传彩页等）并在投标文件技术参数偏离表备注栏中标注相应证明文件页码，未标注页码视为负偏离）</w:t>
            </w:r>
          </w:p>
          <w:p w14:paraId="76DC757D">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2.3</w:t>
            </w:r>
            <w:r>
              <w:rPr>
                <w:rFonts w:hint="eastAsia" w:ascii="Times New Roman" w:hAnsi="Times New Roman" w:eastAsia="宋体" w:cs="宋体"/>
                <w:kern w:val="2"/>
                <w:sz w:val="21"/>
                <w:szCs w:val="24"/>
                <w:lang w:val="en-US" w:eastAsia="zh-CN" w:bidi="ar"/>
              </w:rPr>
              <w:t>、非★、▲号指标每负偏离一项扣</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分，扣完为止。</w:t>
            </w:r>
          </w:p>
          <w:p w14:paraId="14471CB1">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、技术培训方案</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分</w:t>
            </w:r>
            <w:r>
              <w:rPr>
                <w:rFonts w:hint="default" w:ascii="Times New Roman" w:hAnsi="Times New Roman" w:eastAsia="宋体" w:cs="Times New Roman"/>
                <w:kern w:val="2"/>
                <w:sz w:val="21"/>
                <w:szCs w:val="24"/>
                <w:lang w:val="en-US" w:eastAsia="zh-CN" w:bidi="ar"/>
              </w:rPr>
              <w:t>)</w:t>
            </w:r>
          </w:p>
          <w:p w14:paraId="739F208F">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供应商提供对用户的操作培训、业务功能培训等相关培训计划方案，除正常操作培训外，针对甲方是教学培训单位的特点，提出其他技术培训保障方案；</w:t>
            </w:r>
          </w:p>
          <w:p w14:paraId="0B9F8C05">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3.1</w:t>
            </w:r>
            <w:r>
              <w:rPr>
                <w:rFonts w:hint="eastAsia" w:ascii="Times New Roman" w:hAnsi="Times New Roman" w:eastAsia="宋体" w:cs="宋体"/>
                <w:kern w:val="2"/>
                <w:sz w:val="21"/>
                <w:szCs w:val="24"/>
                <w:lang w:val="en-US" w:eastAsia="zh-CN" w:bidi="ar"/>
              </w:rPr>
              <w:t>、技术培训保障方案内容详实、科学、合理，考虑周全，培训计划针对性强、内容详实，培训人员配备齐全、技术水平高、分工明确、岗位设置科学合理，培训率承诺高，得</w:t>
            </w: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分。</w:t>
            </w:r>
          </w:p>
          <w:p w14:paraId="16AF96D7">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3.2</w:t>
            </w:r>
            <w:r>
              <w:rPr>
                <w:rFonts w:hint="eastAsia" w:ascii="Times New Roman" w:hAnsi="Times New Roman" w:eastAsia="宋体" w:cs="宋体"/>
                <w:kern w:val="2"/>
                <w:sz w:val="21"/>
                <w:szCs w:val="24"/>
                <w:lang w:val="en-US" w:eastAsia="zh-CN" w:bidi="ar"/>
              </w:rPr>
              <w:t>、技术培训保障方案内容详实、考虑较全，培训计划具体，培训人员齐全，培训率承诺较高，得</w:t>
            </w: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分。</w:t>
            </w:r>
          </w:p>
          <w:p w14:paraId="650C0BC4">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3.3</w:t>
            </w:r>
            <w:r>
              <w:rPr>
                <w:rFonts w:hint="eastAsia" w:ascii="Times New Roman" w:hAnsi="Times New Roman" w:eastAsia="宋体" w:cs="宋体"/>
                <w:kern w:val="2"/>
                <w:sz w:val="21"/>
                <w:szCs w:val="24"/>
                <w:lang w:val="en-US" w:eastAsia="zh-CN" w:bidi="ar"/>
              </w:rPr>
              <w:t>．技术培训保障方案表述简单，培训计划简单、培训人员较少，培训率承诺一般，得</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分。</w:t>
            </w:r>
          </w:p>
          <w:p w14:paraId="4062891A">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3.4</w:t>
            </w:r>
            <w:r>
              <w:rPr>
                <w:rFonts w:hint="eastAsia" w:ascii="Times New Roman" w:hAnsi="Times New Roman" w:eastAsia="宋体" w:cs="宋体"/>
                <w:kern w:val="2"/>
                <w:sz w:val="21"/>
                <w:szCs w:val="24"/>
                <w:lang w:val="en-US" w:eastAsia="zh-CN" w:bidi="ar"/>
              </w:rPr>
              <w:t>．未提供方案或方案无可行性不得分。</w:t>
            </w:r>
          </w:p>
          <w:p w14:paraId="62C1038B">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、业绩：</w:t>
            </w:r>
            <w:r>
              <w:rPr>
                <w:rFonts w:hint="default" w:ascii="Times New Roman" w:hAnsi="Times New Roman" w:eastAsia="宋体" w:cs="Times New Roman"/>
                <w:kern w:val="2"/>
                <w:sz w:val="21"/>
                <w:szCs w:val="24"/>
                <w:lang w:val="en-US" w:eastAsia="zh-CN" w:bidi="ar"/>
              </w:rPr>
              <w:t>10</w:t>
            </w:r>
            <w:r>
              <w:rPr>
                <w:rFonts w:hint="eastAsia" w:ascii="Times New Roman" w:hAnsi="Times New Roman" w:eastAsia="宋体" w:cs="宋体"/>
                <w:kern w:val="2"/>
                <w:sz w:val="21"/>
                <w:szCs w:val="24"/>
                <w:lang w:val="en-US" w:eastAsia="zh-CN" w:bidi="ar"/>
              </w:rPr>
              <w:t>分</w:t>
            </w:r>
          </w:p>
          <w:p w14:paraId="521CA161">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提供投标产品的制造商或其代理商</w:t>
            </w:r>
            <w:r>
              <w:rPr>
                <w:rFonts w:hint="default" w:ascii="Times New Roman" w:hAnsi="Times New Roman" w:eastAsia="宋体" w:cs="Times New Roman"/>
                <w:kern w:val="2"/>
                <w:sz w:val="21"/>
                <w:szCs w:val="24"/>
                <w:lang w:val="en-US" w:eastAsia="zh-CN" w:bidi="ar"/>
              </w:rPr>
              <w:t>2022</w:t>
            </w:r>
            <w:r>
              <w:rPr>
                <w:rFonts w:hint="eastAsia" w:ascii="Times New Roman" w:hAnsi="Times New Roman" w:eastAsia="宋体" w:cs="宋体"/>
                <w:kern w:val="2"/>
                <w:sz w:val="21"/>
                <w:szCs w:val="24"/>
                <w:lang w:val="en-US" w:eastAsia="zh-CN" w:bidi="ar"/>
              </w:rPr>
              <w:t>年至今同品牌同型号的业绩证明文件（销售合同复印件），每提供</w:t>
            </w: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份合同得</w:t>
            </w:r>
            <w:r>
              <w:rPr>
                <w:rFonts w:hint="default" w:ascii="Times New Roman" w:hAnsi="Times New Roman" w:eastAsia="宋体" w:cs="Times New Roman"/>
                <w:kern w:val="2"/>
                <w:sz w:val="21"/>
                <w:szCs w:val="24"/>
                <w:lang w:val="en-US" w:eastAsia="zh-CN" w:bidi="ar"/>
              </w:rPr>
              <w:t>2.5</w:t>
            </w:r>
            <w:r>
              <w:rPr>
                <w:rFonts w:hint="eastAsia" w:ascii="Times New Roman" w:hAnsi="Times New Roman" w:eastAsia="宋体" w:cs="宋体"/>
                <w:kern w:val="2"/>
                <w:sz w:val="21"/>
                <w:szCs w:val="24"/>
                <w:lang w:val="en-US" w:eastAsia="zh-CN" w:bidi="ar"/>
              </w:rPr>
              <w:t>分，最多得</w:t>
            </w:r>
            <w:r>
              <w:rPr>
                <w:rFonts w:hint="default" w:ascii="Times New Roman" w:hAnsi="Times New Roman" w:eastAsia="宋体" w:cs="Times New Roman"/>
                <w:kern w:val="2"/>
                <w:sz w:val="21"/>
                <w:szCs w:val="24"/>
                <w:lang w:val="en-US" w:eastAsia="zh-CN" w:bidi="ar"/>
              </w:rPr>
              <w:t>10</w:t>
            </w:r>
            <w:r>
              <w:rPr>
                <w:rFonts w:hint="eastAsia" w:ascii="Times New Roman" w:hAnsi="Times New Roman" w:eastAsia="宋体" w:cs="宋体"/>
                <w:kern w:val="2"/>
                <w:sz w:val="21"/>
                <w:szCs w:val="24"/>
                <w:lang w:val="en-US" w:eastAsia="zh-CN" w:bidi="ar"/>
              </w:rPr>
              <w:t>分。未提供合同或合同型号不一致、关键页不清晰者，该项不得分。</w:t>
            </w:r>
          </w:p>
          <w:p w14:paraId="2C9B6099">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5</w:t>
            </w:r>
            <w:r>
              <w:rPr>
                <w:rFonts w:hint="eastAsia" w:ascii="Times New Roman" w:hAnsi="Times New Roman" w:eastAsia="宋体" w:cs="宋体"/>
                <w:kern w:val="2"/>
                <w:sz w:val="21"/>
                <w:szCs w:val="24"/>
                <w:lang w:val="en-US" w:eastAsia="zh-CN" w:bidi="ar"/>
              </w:rPr>
              <w:t>、售后服务：</w:t>
            </w:r>
            <w:r>
              <w:rPr>
                <w:rFonts w:hint="default" w:ascii="Times New Roman" w:hAnsi="Times New Roman" w:eastAsia="宋体" w:cs="Times New Roman"/>
                <w:kern w:val="2"/>
                <w:sz w:val="21"/>
                <w:szCs w:val="24"/>
                <w:lang w:val="en-US" w:eastAsia="zh-CN" w:bidi="ar"/>
              </w:rPr>
              <w:t>9</w:t>
            </w:r>
            <w:r>
              <w:rPr>
                <w:rFonts w:hint="eastAsia" w:ascii="Times New Roman" w:hAnsi="Times New Roman" w:eastAsia="宋体" w:cs="宋体"/>
                <w:kern w:val="2"/>
                <w:sz w:val="21"/>
                <w:szCs w:val="24"/>
                <w:lang w:val="en-US" w:eastAsia="zh-CN" w:bidi="ar"/>
              </w:rPr>
              <w:t>分</w:t>
            </w:r>
          </w:p>
          <w:p w14:paraId="105E073B">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bCs/>
                <w:kern w:val="2"/>
                <w:sz w:val="21"/>
                <w:szCs w:val="24"/>
                <w:lang w:val="en-US" w:eastAsia="zh-CN" w:bidi="ar"/>
              </w:rPr>
              <w:t>5.1</w:t>
            </w:r>
            <w:r>
              <w:rPr>
                <w:rFonts w:hint="eastAsia" w:ascii="Times New Roman" w:hAnsi="Times New Roman" w:eastAsia="宋体" w:cs="宋体"/>
                <w:bCs/>
                <w:kern w:val="2"/>
                <w:sz w:val="21"/>
                <w:szCs w:val="24"/>
                <w:lang w:val="en-US" w:eastAsia="zh-CN" w:bidi="ar"/>
              </w:rPr>
              <w:t>、售后服务实施响应</w:t>
            </w:r>
            <w:r>
              <w:rPr>
                <w:rFonts w:hint="default" w:ascii="Times New Roman" w:hAnsi="Times New Roman" w:eastAsia="宋体" w:cs="Times New Roman"/>
                <w:bCs/>
                <w:kern w:val="2"/>
                <w:sz w:val="21"/>
                <w:szCs w:val="24"/>
                <w:lang w:val="en-US" w:eastAsia="zh-CN" w:bidi="ar"/>
              </w:rPr>
              <w:t xml:space="preserve"> (7</w:t>
            </w:r>
            <w:r>
              <w:rPr>
                <w:rFonts w:hint="eastAsia" w:ascii="Times New Roman" w:hAnsi="Times New Roman" w:eastAsia="宋体" w:cs="宋体"/>
                <w:bCs/>
                <w:kern w:val="2"/>
                <w:sz w:val="21"/>
                <w:szCs w:val="24"/>
                <w:lang w:val="en-US" w:eastAsia="zh-CN" w:bidi="ar"/>
              </w:rPr>
              <w:t>分</w:t>
            </w:r>
            <w:r>
              <w:rPr>
                <w:rFonts w:hint="default" w:ascii="Times New Roman" w:hAnsi="Times New Roman" w:eastAsia="宋体" w:cs="Times New Roman"/>
                <w:bCs/>
                <w:kern w:val="2"/>
                <w:sz w:val="21"/>
                <w:szCs w:val="24"/>
                <w:lang w:val="en-US" w:eastAsia="zh-CN" w:bidi="ar"/>
              </w:rPr>
              <w:t>)</w:t>
            </w:r>
            <w:r>
              <w:rPr>
                <w:rFonts w:hint="eastAsia" w:ascii="Times New Roman" w:hAnsi="Times New Roman" w:eastAsia="宋体" w:cs="宋体"/>
                <w:kern w:val="2"/>
                <w:sz w:val="21"/>
                <w:szCs w:val="24"/>
                <w:lang w:val="en-US" w:eastAsia="zh-CN" w:bidi="ar"/>
              </w:rPr>
              <w:t>：</w:t>
            </w:r>
          </w:p>
          <w:p w14:paraId="5E5CEB0F">
            <w:pPr>
              <w:keepNext w:val="0"/>
              <w:keepLines w:val="0"/>
              <w:widowControl w:val="0"/>
              <w:suppressLineNumbers w:val="0"/>
              <w:spacing w:before="0" w:beforeAutospacing="0" w:after="0" w:afterAutospacing="0"/>
              <w:ind w:left="0" w:right="0"/>
              <w:jc w:val="both"/>
              <w:rPr>
                <w:rFonts w:hint="default"/>
                <w:szCs w:val="20"/>
                <w:lang w:val="en-US"/>
              </w:rPr>
            </w:pPr>
            <w:r>
              <w:rPr>
                <w:rFonts w:hint="eastAsia" w:ascii="Times New Roman" w:hAnsi="Times New Roman" w:eastAsia="宋体" w:cs="宋体"/>
                <w:kern w:val="2"/>
                <w:sz w:val="21"/>
                <w:szCs w:val="24"/>
                <w:lang w:val="en-US" w:eastAsia="zh-CN" w:bidi="ar"/>
              </w:rPr>
              <w:t>根据投标人质保期内售后服务（响应时间，回访巡检方案、故障解决措施、技术人员保障、备品配件价格等）、本地化服务方案（江苏省内各服务网点、维修网点设置情况以及技术人员安排情况）等服务内容，</w:t>
            </w:r>
          </w:p>
          <w:p w14:paraId="388230BE">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1</w:t>
            </w:r>
            <w:r>
              <w:rPr>
                <w:rFonts w:hint="eastAsia" w:ascii="Times New Roman" w:hAnsi="Times New Roman" w:eastAsia="宋体" w:cs="宋体"/>
                <w:kern w:val="2"/>
                <w:sz w:val="21"/>
                <w:szCs w:val="24"/>
                <w:lang w:val="en-US" w:eastAsia="zh-CN" w:bidi="ar"/>
              </w:rPr>
              <w:t>）售后方案内容详实、科学、合理，考虑周全，对产品质量管控措施要求全面到位，相关服务承诺内容详实，人员配备齐全，分工明确、岗位设置科学合理，人员配备齐全、设备配备齐全、先进者得</w:t>
            </w:r>
            <w:r>
              <w:rPr>
                <w:rFonts w:hint="default" w:ascii="Times New Roman" w:hAnsi="Times New Roman" w:eastAsia="宋体" w:cs="Times New Roman"/>
                <w:kern w:val="2"/>
                <w:sz w:val="21"/>
                <w:szCs w:val="24"/>
                <w:lang w:val="en-US" w:eastAsia="zh-CN" w:bidi="ar"/>
              </w:rPr>
              <w:t>7</w:t>
            </w:r>
            <w:r>
              <w:rPr>
                <w:rFonts w:hint="eastAsia" w:ascii="Times New Roman" w:hAnsi="Times New Roman" w:eastAsia="宋体" w:cs="宋体"/>
                <w:kern w:val="2"/>
                <w:sz w:val="21"/>
                <w:szCs w:val="24"/>
                <w:lang w:val="en-US" w:eastAsia="zh-CN" w:bidi="ar"/>
              </w:rPr>
              <w:t>分；</w:t>
            </w:r>
          </w:p>
          <w:p w14:paraId="6F2022B5">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2</w:t>
            </w:r>
            <w:r>
              <w:rPr>
                <w:rFonts w:hint="eastAsia" w:ascii="Times New Roman" w:hAnsi="Times New Roman" w:eastAsia="宋体" w:cs="宋体"/>
                <w:kern w:val="2"/>
                <w:sz w:val="21"/>
                <w:szCs w:val="24"/>
                <w:lang w:val="en-US" w:eastAsia="zh-CN" w:bidi="ar"/>
              </w:rPr>
              <w:t>）售后方案内容详实、考虑较全，对产品质量管控措施要求到位，相关服务承诺内容具体，人员配备齐全、设备配备齐全者得</w:t>
            </w: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分；</w:t>
            </w:r>
          </w:p>
          <w:p w14:paraId="1BDC617A">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3</w:t>
            </w:r>
            <w:r>
              <w:rPr>
                <w:rFonts w:hint="eastAsia" w:ascii="Times New Roman" w:hAnsi="Times New Roman" w:eastAsia="宋体" w:cs="宋体"/>
                <w:kern w:val="2"/>
                <w:sz w:val="21"/>
                <w:szCs w:val="24"/>
                <w:lang w:val="en-US" w:eastAsia="zh-CN" w:bidi="ar"/>
              </w:rPr>
              <w:t>）</w:t>
            </w:r>
            <w:r>
              <w:rPr>
                <w:rFonts w:hint="eastAsia" w:ascii="宋体" w:hAnsi="宋体" w:eastAsia="宋体" w:cs="宋体"/>
                <w:kern w:val="2"/>
                <w:sz w:val="21"/>
                <w:szCs w:val="21"/>
                <w:lang w:val="en-US" w:eastAsia="zh-CN" w:bidi="ar"/>
              </w:rPr>
              <w:t>售后方案表述简单，人员配备有所欠缺、设备配备一般者得1分；</w:t>
            </w:r>
          </w:p>
          <w:p w14:paraId="5B9F2FD3">
            <w:pPr>
              <w:keepNext w:val="0"/>
              <w:keepLines w:val="0"/>
              <w:widowControl w:val="0"/>
              <w:suppressLineNumbers w:val="0"/>
              <w:spacing w:before="0" w:beforeAutospacing="0" w:after="0" w:afterAutospacing="0"/>
              <w:ind w:left="0" w:right="0"/>
              <w:jc w:val="both"/>
              <w:rPr>
                <w:rFonts w:hint="default"/>
                <w:szCs w:val="20"/>
                <w:lang w:val="en-US"/>
              </w:rPr>
            </w:pPr>
            <w:r>
              <w:rPr>
                <w:rFonts w:hint="default" w:ascii="Times New Roman" w:hAnsi="Times New Roman" w:eastAsia="宋体" w:cs="Times New Roman"/>
                <w:kern w:val="2"/>
                <w:sz w:val="21"/>
                <w:szCs w:val="24"/>
                <w:lang w:val="en-US" w:eastAsia="zh-CN" w:bidi="ar"/>
              </w:rPr>
              <w:t>4</w:t>
            </w:r>
            <w:r>
              <w:rPr>
                <w:rFonts w:hint="eastAsia" w:ascii="Times New Roman" w:hAnsi="Times New Roman" w:eastAsia="宋体" w:cs="宋体"/>
                <w:kern w:val="2"/>
                <w:sz w:val="21"/>
                <w:szCs w:val="24"/>
                <w:lang w:val="en-US" w:eastAsia="zh-CN" w:bidi="ar"/>
              </w:rPr>
              <w:t>）未提供服务方案的不得分。</w:t>
            </w:r>
          </w:p>
          <w:p w14:paraId="70D87F1F">
            <w:pPr>
              <w:keepNext w:val="0"/>
              <w:keepLines w:val="0"/>
              <w:widowControl w:val="0"/>
              <w:suppressLineNumbers w:val="0"/>
              <w:spacing w:before="0" w:beforeAutospacing="0" w:after="0" w:afterAutospacing="0"/>
              <w:ind w:left="0" w:right="0"/>
              <w:jc w:val="both"/>
              <w:rPr>
                <w:rFonts w:hint="default"/>
                <w:bCs/>
                <w:szCs w:val="20"/>
                <w:lang w:val="en-US"/>
              </w:rPr>
            </w:pPr>
            <w:r>
              <w:rPr>
                <w:rFonts w:hint="default" w:ascii="Times New Roman" w:hAnsi="Times New Roman" w:eastAsia="宋体" w:cs="Times New Roman"/>
                <w:bCs/>
                <w:kern w:val="2"/>
                <w:sz w:val="21"/>
                <w:szCs w:val="24"/>
                <w:lang w:val="en-US" w:eastAsia="zh-CN" w:bidi="ar"/>
              </w:rPr>
              <w:t>5.2</w:t>
            </w:r>
            <w:r>
              <w:rPr>
                <w:rFonts w:hint="eastAsia" w:ascii="Times New Roman" w:hAnsi="Times New Roman" w:eastAsia="宋体" w:cs="宋体"/>
                <w:bCs/>
                <w:kern w:val="2"/>
                <w:sz w:val="21"/>
                <w:szCs w:val="24"/>
                <w:lang w:val="en-US" w:eastAsia="zh-CN" w:bidi="ar"/>
              </w:rPr>
              <w:t>、质保期（</w:t>
            </w:r>
            <w:r>
              <w:rPr>
                <w:rFonts w:hint="default" w:ascii="Times New Roman" w:hAnsi="Times New Roman" w:eastAsia="宋体" w:cs="Times New Roman"/>
                <w:bCs/>
                <w:kern w:val="2"/>
                <w:sz w:val="21"/>
                <w:szCs w:val="24"/>
                <w:lang w:val="en-US" w:eastAsia="zh-CN" w:bidi="ar"/>
              </w:rPr>
              <w:t>2</w:t>
            </w:r>
            <w:r>
              <w:rPr>
                <w:rFonts w:hint="eastAsia" w:ascii="Times New Roman" w:hAnsi="Times New Roman" w:eastAsia="宋体" w:cs="宋体"/>
                <w:bCs/>
                <w:kern w:val="2"/>
                <w:sz w:val="21"/>
                <w:szCs w:val="24"/>
                <w:lang w:val="en-US" w:eastAsia="zh-CN" w:bidi="ar"/>
              </w:rPr>
              <w:t>分）：</w:t>
            </w:r>
          </w:p>
          <w:p w14:paraId="3B6AE937">
            <w:pPr>
              <w:keepNext w:val="0"/>
              <w:keepLines w:val="0"/>
              <w:suppressLineNumbers w:val="0"/>
              <w:spacing w:before="0" w:beforeAutospacing="0" w:after="0" w:afterAutospacing="0"/>
              <w:ind w:left="0" w:right="0"/>
              <w:rPr>
                <w:rFonts w:hint="eastAsia"/>
                <w:b w:val="0"/>
                <w:kern w:val="2"/>
                <w:position w:val="0"/>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b w:val="0"/>
                <w:kern w:val="2"/>
                <w:position w:val="0"/>
                <w:szCs w:val="24"/>
                <w:lang w:val="en-US" w:eastAsia="zh-CN"/>
              </w:rPr>
              <w:t>免费质保期基础上每增加一年加1分，最多得2分</w:t>
            </w:r>
            <w:r>
              <w:rPr>
                <w:rFonts w:hint="eastAsia"/>
                <w:b w:val="0"/>
                <w:kern w:val="2"/>
                <w:position w:val="0"/>
                <w:szCs w:val="24"/>
              </w:rPr>
              <w:t>。</w:t>
            </w:r>
          </w:p>
        </w:tc>
      </w:tr>
    </w:tbl>
    <w:p w14:paraId="2132539C">
      <w:pPr>
        <w:rPr>
          <w:rFonts w:hint="eastAsia" w:ascii="宋体" w:hAnsi="宋体" w:cs="宋体"/>
          <w:b/>
          <w:bCs/>
          <w:color w:val="000000"/>
          <w:kern w:val="2"/>
          <w:sz w:val="28"/>
          <w:szCs w:val="28"/>
          <w:lang w:val="zh-CN" w:eastAsia="zh-CN" w:bidi="ar-SA"/>
        </w:rPr>
      </w:pPr>
      <w:r>
        <w:rPr>
          <w:rFonts w:hint="eastAsia" w:ascii="宋体" w:hAnsi="宋体" w:cs="宋体"/>
          <w:b/>
          <w:bCs/>
          <w:color w:val="000000"/>
          <w:kern w:val="2"/>
          <w:sz w:val="28"/>
          <w:szCs w:val="28"/>
          <w:lang w:val="zh-CN" w:eastAsia="zh-CN" w:bidi="ar-SA"/>
        </w:rPr>
        <w:t>包四：</w:t>
      </w:r>
    </w:p>
    <w:p w14:paraId="2BD2C297">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2B5E9789">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457B383A">
      <w:pPr>
        <w:spacing w:line="360" w:lineRule="auto"/>
        <w:jc w:val="left"/>
        <w:rPr>
          <w:rFonts w:hAnsi="宋体" w:cs="宋体"/>
          <w:b w:val="0"/>
          <w:bCs/>
        </w:rPr>
      </w:pPr>
      <w:r>
        <w:rPr>
          <w:rFonts w:hint="eastAsia" w:hAnsi="宋体" w:cs="宋体"/>
          <w:b w:val="0"/>
          <w:bCs/>
        </w:rPr>
        <w:t>采用综合评分法。</w:t>
      </w:r>
    </w:p>
    <w:p w14:paraId="57F79D33">
      <w:pPr>
        <w:spacing w:line="360" w:lineRule="auto"/>
        <w:jc w:val="left"/>
      </w:pPr>
      <w:r>
        <w:rPr>
          <w:rFonts w:hint="eastAsia" w:hAnsi="宋体" w:cs="宋体"/>
          <w:b w:val="0"/>
          <w:bCs/>
          <w:snapToGrid w:val="0"/>
          <w:sz w:val="28"/>
          <w:szCs w:val="28"/>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0A8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05B87F39">
            <w:pPr>
              <w:keepNext w:val="0"/>
              <w:keepLines w:val="0"/>
              <w:suppressLineNumbers w:val="0"/>
              <w:spacing w:before="0" w:beforeAutospacing="0" w:after="0" w:afterAutospacing="0"/>
              <w:ind w:left="0" w:right="0"/>
              <w:rPr>
                <w:rFonts w:hint="default"/>
                <w:kern w:val="2"/>
                <w:position w:val="0"/>
                <w:szCs w:val="24"/>
                <w:u w:val="single"/>
              </w:rPr>
            </w:pPr>
            <w:r>
              <w:rPr>
                <w:rFonts w:hint="eastAsia"/>
                <w:kern w:val="2"/>
                <w:position w:val="0"/>
                <w:szCs w:val="24"/>
                <w:u w:val="single"/>
              </w:rPr>
              <w:t>综合评估法：具体采用打分法</w:t>
            </w:r>
          </w:p>
          <w:p w14:paraId="61DBD940">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说明：只有初步评审合格的投标人，才能进入详细评审。初步评审办法详见招标文件。</w:t>
            </w:r>
          </w:p>
          <w:p w14:paraId="6AF1EE04">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14:paraId="0740D2ED">
            <w:pPr>
              <w:keepNext w:val="0"/>
              <w:keepLines w:val="0"/>
              <w:suppressLineNumbers w:val="0"/>
              <w:spacing w:before="0" w:beforeAutospacing="0" w:after="0" w:afterAutospacing="0"/>
              <w:ind w:left="0" w:right="0"/>
              <w:rPr>
                <w:rFonts w:hint="default"/>
                <w:bCs/>
                <w:kern w:val="2"/>
                <w:position w:val="0"/>
                <w:szCs w:val="24"/>
              </w:rPr>
            </w:pPr>
            <w:r>
              <w:rPr>
                <w:rFonts w:hint="eastAsia"/>
                <w:bCs/>
                <w:kern w:val="2"/>
                <w:position w:val="0"/>
                <w:szCs w:val="24"/>
              </w:rPr>
              <w:t>1、报价：</w:t>
            </w:r>
            <w:r>
              <w:rPr>
                <w:rFonts w:hint="eastAsia"/>
                <w:bCs/>
                <w:kern w:val="2"/>
                <w:position w:val="0"/>
                <w:szCs w:val="24"/>
                <w:lang w:val="en-US" w:eastAsia="zh-CN"/>
              </w:rPr>
              <w:t>30</w:t>
            </w:r>
            <w:r>
              <w:rPr>
                <w:rFonts w:hint="eastAsia"/>
                <w:bCs/>
                <w:kern w:val="2"/>
                <w:position w:val="0"/>
                <w:szCs w:val="24"/>
              </w:rPr>
              <w:t>分</w:t>
            </w:r>
          </w:p>
          <w:p w14:paraId="387C82EF">
            <w:pPr>
              <w:keepNext w:val="0"/>
              <w:keepLines w:val="0"/>
              <w:suppressLineNumbers w:val="0"/>
              <w:spacing w:before="0" w:beforeAutospacing="0" w:after="0" w:afterAutospacing="0"/>
              <w:ind w:left="0" w:right="0"/>
              <w:rPr>
                <w:rFonts w:hint="default"/>
                <w:b w:val="0"/>
                <w:kern w:val="2"/>
                <w:position w:val="0"/>
                <w:szCs w:val="24"/>
              </w:rPr>
            </w:pPr>
            <w:r>
              <w:rPr>
                <w:rFonts w:hint="eastAsia"/>
                <w:b w:val="0"/>
                <w:bCs/>
                <w:kern w:val="2"/>
                <w:position w:val="0"/>
                <w:szCs w:val="24"/>
              </w:rPr>
              <w:t>（</w:t>
            </w:r>
            <w:r>
              <w:rPr>
                <w:rFonts w:hint="default"/>
                <w:b w:val="0"/>
                <w:kern w:val="2"/>
                <w:position w:val="0"/>
                <w:szCs w:val="24"/>
              </w:rPr>
              <w:t>价格分采用低价优先法计算，即满足招标文件要求且投标价格最低的投标报价为评标基准价，其他供应商的价格分按照下列公式计算：</w:t>
            </w:r>
          </w:p>
          <w:p w14:paraId="7CA04C78">
            <w:pPr>
              <w:keepNext w:val="0"/>
              <w:keepLines w:val="0"/>
              <w:suppressLineNumbers w:val="0"/>
              <w:spacing w:before="0" w:beforeAutospacing="0" w:after="0" w:afterAutospacing="0"/>
              <w:ind w:left="0" w:right="0"/>
              <w:rPr>
                <w:rFonts w:hint="default"/>
                <w:b w:val="0"/>
                <w:bCs/>
                <w:kern w:val="2"/>
                <w:position w:val="0"/>
                <w:szCs w:val="24"/>
              </w:rPr>
            </w:pPr>
            <w:r>
              <w:rPr>
                <w:rFonts w:hint="default"/>
                <w:b w:val="0"/>
                <w:kern w:val="2"/>
                <w:position w:val="0"/>
                <w:szCs w:val="24"/>
              </w:rPr>
              <w:t>价格分=（评标基准价/投标报价）×</w:t>
            </w:r>
            <w:r>
              <w:rPr>
                <w:rFonts w:hint="eastAsia"/>
                <w:b w:val="0"/>
                <w:kern w:val="2"/>
                <w:position w:val="0"/>
                <w:szCs w:val="24"/>
                <w:lang w:val="en-US" w:eastAsia="zh-CN"/>
              </w:rPr>
              <w:t>3</w:t>
            </w:r>
            <w:r>
              <w:rPr>
                <w:rFonts w:hint="default"/>
                <w:b w:val="0"/>
                <w:kern w:val="2"/>
                <w:position w:val="0"/>
                <w:szCs w:val="24"/>
              </w:rPr>
              <w:t>0</w:t>
            </w:r>
            <w:r>
              <w:rPr>
                <w:rFonts w:hint="eastAsia"/>
                <w:b w:val="0"/>
                <w:kern w:val="2"/>
                <w:position w:val="0"/>
                <w:szCs w:val="24"/>
              </w:rPr>
              <w:t>（小数点保留两位）</w:t>
            </w:r>
            <w:r>
              <w:rPr>
                <w:rFonts w:hint="eastAsia"/>
                <w:b w:val="0"/>
                <w:bCs/>
                <w:kern w:val="2"/>
                <w:position w:val="0"/>
                <w:szCs w:val="24"/>
              </w:rPr>
              <w:t>）</w:t>
            </w:r>
          </w:p>
          <w:p w14:paraId="47856160">
            <w:pPr>
              <w:keepNext w:val="0"/>
              <w:keepLines w:val="0"/>
              <w:suppressLineNumbers w:val="0"/>
              <w:spacing w:before="0" w:beforeAutospacing="0" w:after="0" w:afterAutospacing="0"/>
              <w:ind w:left="0" w:right="0"/>
              <w:rPr>
                <w:rFonts w:hint="default"/>
                <w:kern w:val="2"/>
                <w:position w:val="0"/>
                <w:szCs w:val="24"/>
              </w:rPr>
            </w:pPr>
            <w:r>
              <w:rPr>
                <w:rFonts w:hint="eastAsia"/>
                <w:kern w:val="2"/>
                <w:position w:val="0"/>
                <w:szCs w:val="24"/>
              </w:rPr>
              <w:t>2、技术、性能、配置：</w:t>
            </w:r>
            <w:r>
              <w:rPr>
                <w:rFonts w:hint="eastAsia"/>
                <w:kern w:val="2"/>
                <w:position w:val="0"/>
                <w:szCs w:val="24"/>
                <w:lang w:val="en-US" w:eastAsia="zh-CN"/>
              </w:rPr>
              <w:t>46</w:t>
            </w:r>
            <w:r>
              <w:rPr>
                <w:rFonts w:hint="eastAsia"/>
                <w:kern w:val="2"/>
                <w:position w:val="0"/>
                <w:szCs w:val="24"/>
              </w:rPr>
              <w:t>分</w:t>
            </w:r>
          </w:p>
          <w:p w14:paraId="51276142">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评委根据招标文件中《技术规格及商务要求》，结合投标文件提供的佐证材料等进行评审：</w:t>
            </w:r>
          </w:p>
          <w:p w14:paraId="28E28DF1">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1、全部满足标书基本要求得</w:t>
            </w:r>
            <w:r>
              <w:rPr>
                <w:rFonts w:hint="eastAsia"/>
                <w:b w:val="0"/>
                <w:kern w:val="2"/>
                <w:position w:val="0"/>
                <w:szCs w:val="24"/>
                <w:lang w:val="en-US" w:eastAsia="zh-CN"/>
              </w:rPr>
              <w:t>4</w:t>
            </w:r>
            <w:r>
              <w:rPr>
                <w:rFonts w:hint="default"/>
                <w:b w:val="0"/>
                <w:kern w:val="2"/>
                <w:position w:val="0"/>
                <w:szCs w:val="24"/>
              </w:rPr>
              <w:t>5</w:t>
            </w:r>
            <w:r>
              <w:rPr>
                <w:rFonts w:hint="eastAsia"/>
                <w:b w:val="0"/>
                <w:kern w:val="2"/>
                <w:position w:val="0"/>
                <w:szCs w:val="24"/>
              </w:rPr>
              <w:t>分，正偏离不加分，有一项★号指标负偏离做废标处理；</w:t>
            </w:r>
          </w:p>
          <w:p w14:paraId="476A26A5">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2、有一项▲号指标负偏离扣</w:t>
            </w:r>
            <w:r>
              <w:rPr>
                <w:rFonts w:hint="default"/>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582B2BC1">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3、非★、▲号指标每负偏离一项扣</w:t>
            </w:r>
            <w:r>
              <w:rPr>
                <w:rFonts w:hint="default"/>
                <w:b w:val="0"/>
                <w:kern w:val="2"/>
                <w:position w:val="0"/>
                <w:szCs w:val="24"/>
              </w:rPr>
              <w:t>1</w:t>
            </w:r>
            <w:r>
              <w:rPr>
                <w:rFonts w:hint="eastAsia"/>
                <w:b w:val="0"/>
                <w:kern w:val="2"/>
                <w:position w:val="0"/>
                <w:szCs w:val="24"/>
              </w:rPr>
              <w:t>分，扣完为止。</w:t>
            </w:r>
          </w:p>
          <w:p w14:paraId="0D2B1808">
            <w:pPr>
              <w:keepNext w:val="0"/>
              <w:keepLines w:val="0"/>
              <w:suppressLineNumbers w:val="0"/>
              <w:spacing w:before="0" w:beforeAutospacing="0" w:after="0" w:afterAutospacing="0"/>
              <w:ind w:left="0" w:right="0"/>
              <w:rPr>
                <w:rFonts w:hint="default"/>
                <w:szCs w:val="24"/>
              </w:rPr>
            </w:pPr>
            <w:r>
              <w:rPr>
                <w:rFonts w:hint="eastAsia"/>
                <w:szCs w:val="24"/>
              </w:rPr>
              <w:t>3、技术培训方案(5分)</w:t>
            </w:r>
          </w:p>
          <w:p w14:paraId="08C07156">
            <w:pPr>
              <w:keepNext w:val="0"/>
              <w:keepLines w:val="0"/>
              <w:suppressLineNumbers w:val="0"/>
              <w:spacing w:before="0" w:beforeAutospacing="0" w:after="0" w:afterAutospacing="0"/>
              <w:ind w:left="0" w:right="0"/>
              <w:rPr>
                <w:rFonts w:hint="default"/>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7640D620">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41874DE6">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2、技术培训保障方案内容详实、考虑较全，培训计划具体，培训人员齐全，培训率承诺较高，得3分。</w:t>
            </w:r>
          </w:p>
          <w:p w14:paraId="360FE96C">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3．技术培训保障方案表述简单，培训计划简单、培训人员较少，培训率承诺一般，得</w:t>
            </w:r>
            <w:r>
              <w:rPr>
                <w:rFonts w:hint="default"/>
                <w:szCs w:val="24"/>
              </w:rPr>
              <w:t>1</w:t>
            </w:r>
            <w:r>
              <w:rPr>
                <w:rFonts w:hint="eastAsia"/>
                <w:szCs w:val="24"/>
              </w:rPr>
              <w:t>分。</w:t>
            </w:r>
          </w:p>
          <w:p w14:paraId="3F9A5C35">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4．未提供方案或方案无可行性不得分。</w:t>
            </w:r>
          </w:p>
          <w:p w14:paraId="2E3AEF08">
            <w:pPr>
              <w:keepNext w:val="0"/>
              <w:keepLines w:val="0"/>
              <w:suppressLineNumbers w:val="0"/>
              <w:spacing w:before="0" w:beforeAutospacing="0" w:after="0" w:afterAutospacing="0"/>
              <w:ind w:left="0" w:right="0"/>
              <w:rPr>
                <w:rFonts w:hint="default"/>
                <w:szCs w:val="24"/>
              </w:rPr>
            </w:pPr>
            <w:r>
              <w:rPr>
                <w:rFonts w:hint="eastAsia"/>
                <w:szCs w:val="24"/>
              </w:rPr>
              <w:t>4、业绩：</w:t>
            </w:r>
            <w:r>
              <w:rPr>
                <w:rFonts w:hint="default"/>
                <w:szCs w:val="24"/>
              </w:rPr>
              <w:t>10</w:t>
            </w:r>
            <w:r>
              <w:rPr>
                <w:rFonts w:hint="eastAsia"/>
                <w:szCs w:val="24"/>
              </w:rPr>
              <w:t>分</w:t>
            </w:r>
          </w:p>
          <w:p w14:paraId="72DACD37">
            <w:pPr>
              <w:keepNext w:val="0"/>
              <w:keepLines w:val="0"/>
              <w:suppressLineNumbers w:val="0"/>
              <w:spacing w:before="0" w:beforeAutospacing="0" w:after="0" w:afterAutospacing="0"/>
              <w:ind w:left="0" w:right="0"/>
              <w:rPr>
                <w:rFonts w:hint="default"/>
                <w:szCs w:val="24"/>
              </w:rPr>
            </w:pPr>
            <w:r>
              <w:rPr>
                <w:rFonts w:hint="eastAsia"/>
                <w:szCs w:val="24"/>
              </w:rPr>
              <w:t>提供投标产品的制造商或其代理商20</w:t>
            </w:r>
            <w:r>
              <w:rPr>
                <w:rFonts w:hint="default"/>
                <w:szCs w:val="24"/>
              </w:rPr>
              <w:t>2</w:t>
            </w:r>
            <w:r>
              <w:rPr>
                <w:rFonts w:hint="eastAsia"/>
                <w:szCs w:val="24"/>
              </w:rPr>
              <w:t>2年至今同品牌同型号的业绩证明文件（销售合同复印件），每提供1份合同得</w:t>
            </w:r>
            <w:r>
              <w:rPr>
                <w:rFonts w:hint="default"/>
                <w:szCs w:val="24"/>
              </w:rPr>
              <w:t>2.5</w:t>
            </w:r>
            <w:r>
              <w:rPr>
                <w:rFonts w:hint="eastAsia"/>
                <w:szCs w:val="24"/>
              </w:rPr>
              <w:t>分，最多得</w:t>
            </w:r>
            <w:r>
              <w:rPr>
                <w:rFonts w:hint="default"/>
                <w:szCs w:val="24"/>
              </w:rPr>
              <w:t>10</w:t>
            </w:r>
            <w:r>
              <w:rPr>
                <w:rFonts w:hint="eastAsia"/>
                <w:szCs w:val="24"/>
              </w:rPr>
              <w:t>分。未提供合同或合同型号不一致、关键页不清晰者，该项不得分。</w:t>
            </w:r>
          </w:p>
          <w:p w14:paraId="04870E19">
            <w:pPr>
              <w:keepNext w:val="0"/>
              <w:keepLines w:val="0"/>
              <w:suppressLineNumbers w:val="0"/>
              <w:spacing w:before="0" w:beforeAutospacing="0" w:after="0" w:afterAutospacing="0"/>
              <w:ind w:left="0" w:right="0"/>
              <w:rPr>
                <w:rFonts w:hint="default"/>
                <w:szCs w:val="24"/>
              </w:rPr>
            </w:pPr>
            <w:r>
              <w:rPr>
                <w:rFonts w:hint="eastAsia"/>
                <w:szCs w:val="24"/>
              </w:rPr>
              <w:t>5、售后服务：9分</w:t>
            </w:r>
          </w:p>
          <w:p w14:paraId="71E2A2CE">
            <w:pPr>
              <w:keepNext w:val="0"/>
              <w:keepLines w:val="0"/>
              <w:suppressLineNumbers w:val="0"/>
              <w:spacing w:before="0" w:beforeAutospacing="0" w:after="0" w:afterAutospacing="0"/>
              <w:ind w:left="0" w:right="0"/>
              <w:rPr>
                <w:rFonts w:hint="default"/>
                <w:szCs w:val="24"/>
              </w:rPr>
            </w:pPr>
            <w:r>
              <w:rPr>
                <w:rFonts w:hint="eastAsia"/>
                <w:bCs/>
                <w:szCs w:val="24"/>
              </w:rPr>
              <w:t>5.1、售后服务实施响应 (7分)</w:t>
            </w:r>
            <w:r>
              <w:rPr>
                <w:rFonts w:hint="eastAsia"/>
                <w:szCs w:val="24"/>
              </w:rPr>
              <w:t>：</w:t>
            </w:r>
          </w:p>
          <w:p w14:paraId="0FDE2D85">
            <w:pPr>
              <w:keepNext w:val="0"/>
              <w:keepLines w:val="0"/>
              <w:suppressLineNumbers w:val="0"/>
              <w:spacing w:before="0" w:beforeAutospacing="0" w:after="0" w:afterAutospacing="0"/>
              <w:ind w:left="0" w:right="0"/>
              <w:rPr>
                <w:rFonts w:hint="default"/>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29704B22">
            <w:pPr>
              <w:keepNext w:val="0"/>
              <w:keepLines w:val="0"/>
              <w:suppressLineNumbers w:val="0"/>
              <w:spacing w:before="0" w:beforeAutospacing="0" w:after="0" w:afterAutospacing="0"/>
              <w:ind w:left="0" w:right="0"/>
              <w:rPr>
                <w:rFonts w:hint="default"/>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5DFA2F69">
            <w:pPr>
              <w:keepNext w:val="0"/>
              <w:keepLines w:val="0"/>
              <w:suppressLineNumbers w:val="0"/>
              <w:spacing w:before="0" w:beforeAutospacing="0" w:after="0" w:afterAutospacing="0"/>
              <w:ind w:left="0" w:right="0"/>
              <w:rPr>
                <w:rFonts w:hint="default"/>
                <w:szCs w:val="24"/>
              </w:rPr>
            </w:pPr>
            <w:r>
              <w:rPr>
                <w:rFonts w:hint="eastAsia"/>
                <w:szCs w:val="24"/>
              </w:rPr>
              <w:t>2）售后方案内容详实、考虑较全，对产品质量管控措施要求到位，相关服务承诺内容具体，人员配备齐全、设备配备齐全者得4分；</w:t>
            </w:r>
          </w:p>
          <w:p w14:paraId="62799A1E">
            <w:pPr>
              <w:keepNext w:val="0"/>
              <w:keepLines w:val="0"/>
              <w:suppressLineNumbers w:val="0"/>
              <w:spacing w:before="0" w:beforeAutospacing="0" w:after="0" w:afterAutospacing="0"/>
              <w:ind w:left="0" w:right="0"/>
              <w:rPr>
                <w:rFonts w:hint="default"/>
                <w:color w:val="auto"/>
                <w:szCs w:val="24"/>
              </w:rPr>
            </w:pPr>
            <w:r>
              <w:rPr>
                <w:rFonts w:hint="eastAsia"/>
                <w:color w:val="auto"/>
                <w:szCs w:val="24"/>
              </w:rPr>
              <w:t>3）</w:t>
            </w:r>
            <w:r>
              <w:rPr>
                <w:rFonts w:hint="eastAsia" w:asciiTheme="minorEastAsia" w:hAnsiTheme="minorEastAsia" w:eastAsiaTheme="minorEastAsia" w:cstheme="minorEastAsia"/>
                <w:color w:val="auto"/>
                <w:szCs w:val="21"/>
              </w:rPr>
              <w:t>售后方案表述简单，人员配备有所欠缺、设备配备一般者得</w:t>
            </w:r>
            <w:r>
              <w:rPr>
                <w:rFonts w:hint="default" w:asciiTheme="minorEastAsia" w:hAnsiTheme="minorEastAsia" w:eastAsiaTheme="minorEastAsia" w:cstheme="minorEastAsia"/>
                <w:color w:val="auto"/>
                <w:szCs w:val="21"/>
              </w:rPr>
              <w:t>1</w:t>
            </w:r>
            <w:r>
              <w:rPr>
                <w:rFonts w:hint="eastAsia" w:asciiTheme="minorEastAsia" w:hAnsiTheme="minorEastAsia" w:eastAsiaTheme="minorEastAsia" w:cstheme="minorEastAsia"/>
                <w:color w:val="auto"/>
                <w:szCs w:val="21"/>
              </w:rPr>
              <w:t>分；</w:t>
            </w:r>
          </w:p>
          <w:p w14:paraId="6E15F800">
            <w:pPr>
              <w:keepNext w:val="0"/>
              <w:keepLines w:val="0"/>
              <w:suppressLineNumbers w:val="0"/>
              <w:spacing w:before="0" w:beforeAutospacing="0" w:after="0" w:afterAutospacing="0"/>
              <w:ind w:left="0" w:right="0"/>
              <w:rPr>
                <w:rFonts w:hint="default"/>
                <w:szCs w:val="24"/>
              </w:rPr>
            </w:pPr>
            <w:r>
              <w:rPr>
                <w:rFonts w:hint="eastAsia"/>
                <w:szCs w:val="24"/>
              </w:rPr>
              <w:t>4）未提供服务方案的不得分。</w:t>
            </w:r>
          </w:p>
          <w:p w14:paraId="156F1B16">
            <w:pPr>
              <w:keepNext w:val="0"/>
              <w:keepLines w:val="0"/>
              <w:suppressLineNumbers w:val="0"/>
              <w:spacing w:before="0" w:beforeAutospacing="0" w:after="0" w:afterAutospacing="0"/>
              <w:ind w:left="0" w:right="0"/>
              <w:rPr>
                <w:rFonts w:hint="default"/>
                <w:bCs/>
                <w:szCs w:val="24"/>
              </w:rPr>
            </w:pPr>
            <w:r>
              <w:rPr>
                <w:rFonts w:hint="eastAsia"/>
                <w:bCs/>
                <w:szCs w:val="24"/>
              </w:rPr>
              <w:t>5.2、质保期（2分）：</w:t>
            </w:r>
          </w:p>
          <w:p w14:paraId="6B28FA38">
            <w:pPr>
              <w:keepNext w:val="0"/>
              <w:keepLines w:val="0"/>
              <w:suppressLineNumbers w:val="0"/>
              <w:spacing w:before="0" w:beforeAutospacing="0" w:after="0" w:afterAutospacing="0"/>
              <w:ind w:left="0" w:right="0"/>
              <w:rPr>
                <w:rFonts w:hint="eastAsia"/>
                <w:b w:val="0"/>
                <w:kern w:val="2"/>
                <w:position w:val="0"/>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b w:val="0"/>
                <w:kern w:val="2"/>
                <w:position w:val="0"/>
                <w:szCs w:val="24"/>
                <w:lang w:val="en-US" w:eastAsia="zh-CN"/>
              </w:rPr>
              <w:t>免费质保期基础上每增加一年加1分，最多得2分</w:t>
            </w:r>
            <w:r>
              <w:rPr>
                <w:rFonts w:hint="eastAsia"/>
                <w:b w:val="0"/>
                <w:kern w:val="2"/>
                <w:position w:val="0"/>
                <w:szCs w:val="24"/>
              </w:rPr>
              <w:t>。</w:t>
            </w:r>
          </w:p>
        </w:tc>
      </w:tr>
    </w:tbl>
    <w:p w14:paraId="09A34856">
      <w:pPr>
        <w:rPr>
          <w:rFonts w:hint="eastAsia" w:hAnsi="宋体" w:cs="宋体"/>
          <w:bCs/>
        </w:rPr>
      </w:pPr>
      <w:r>
        <w:rPr>
          <w:rFonts w:hint="eastAsia" w:hAnsi="宋体" w:cs="宋体"/>
        </w:rPr>
        <w:t>说明：</w:t>
      </w:r>
      <w:r>
        <w:rPr>
          <w:rFonts w:hint="eastAsia" w:hAnsi="宋体" w:cs="宋体"/>
          <w:bCs/>
        </w:rPr>
        <w:t>1、促进中小企业发展政策</w:t>
      </w:r>
    </w:p>
    <w:p w14:paraId="581AC78F">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6669B42">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795EF270">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4A87AD1F">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5209509B">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4A663C0D">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F1A8E39">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8CEEFD5">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45D39106">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606F7A6E">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FB8B357">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5BC4E13A">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2B0158FF">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6DBFE9D4">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67A56E2">
      <w:pPr>
        <w:jc w:val="center"/>
        <w:rPr>
          <w:b/>
          <w:bCs/>
          <w:sz w:val="28"/>
          <w:szCs w:val="28"/>
        </w:rPr>
        <w:sectPr>
          <w:pgSz w:w="11906" w:h="16838"/>
          <w:pgMar w:top="1440" w:right="1800" w:bottom="1440" w:left="1800" w:header="851" w:footer="992" w:gutter="0"/>
          <w:cols w:space="0" w:num="1"/>
          <w:docGrid w:type="lines" w:linePitch="312" w:charSpace="0"/>
        </w:sectPr>
      </w:pPr>
    </w:p>
    <w:p w14:paraId="4E641975">
      <w:pPr>
        <w:numPr>
          <w:ilvl w:val="0"/>
          <w:numId w:val="3"/>
        </w:numPr>
        <w:jc w:val="center"/>
        <w:rPr>
          <w:b/>
          <w:bCs/>
          <w:sz w:val="28"/>
          <w:szCs w:val="28"/>
        </w:rPr>
      </w:pPr>
      <w:r>
        <w:rPr>
          <w:rFonts w:hint="eastAsia"/>
          <w:b/>
          <w:bCs/>
          <w:sz w:val="28"/>
          <w:szCs w:val="28"/>
        </w:rPr>
        <w:t xml:space="preserve"> 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3"/>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keepNext w:val="0"/>
              <w:keepLines w:val="0"/>
              <w:widowControl/>
              <w:numPr>
                <w:ilvl w:val="0"/>
                <w:numId w:val="5"/>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435A8D9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highlight w:val="none"/>
              </w:rPr>
            </w:pPr>
            <w:r>
              <w:rPr>
                <w:rFonts w:hint="eastAsia" w:ascii="宋体" w:hAnsi="宋体" w:cs="宋体"/>
                <w:szCs w:val="21"/>
                <w:highlight w:val="none"/>
              </w:rPr>
              <w:t>医疗器械注册证、供应商需提供医疗器械经营许可证，若投标供应商为生产商，须提供《医疗器械生产许可证》。</w:t>
            </w:r>
          </w:p>
          <w:p w14:paraId="03F74EA6">
            <w:pPr>
              <w:pStyle w:val="5"/>
              <w:keepNext w:val="0"/>
              <w:keepLines w:val="0"/>
              <w:suppressLineNumbers w:val="0"/>
              <w:spacing w:before="0" w:beforeAutospacing="0" w:after="0" w:afterAutospacing="0"/>
              <w:ind w:left="0" w:right="0"/>
              <w:rPr>
                <w:rFonts w:hint="default"/>
                <w:szCs w:val="20"/>
              </w:rPr>
            </w:pP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4"/>
        <w:rPr>
          <w:lang w:val="zh-CN"/>
        </w:rPr>
      </w:pPr>
    </w:p>
    <w:p w14:paraId="1476603B">
      <w:pPr>
        <w:spacing w:line="340" w:lineRule="exact"/>
        <w:rPr>
          <w:rFonts w:hint="eastAsia" w:ascii="宋体" w:hAnsi="宋体" w:cs="宋体"/>
          <w:b/>
          <w:color w:val="000000"/>
          <w:kern w:val="0"/>
          <w:szCs w:val="21"/>
        </w:rPr>
      </w:pPr>
      <w:bookmarkStart w:id="10" w:name="_Toc499284719"/>
      <w:bookmarkStart w:id="11" w:name="_Toc372533341"/>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10"/>
    <w:bookmarkEnd w:id="11"/>
    <w:p w14:paraId="39B5054D">
      <w:pPr>
        <w:pStyle w:val="4"/>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4"/>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2CA9A184">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58F9285E"/>
    <w:multiLevelType w:val="singleLevel"/>
    <w:tmpl w:val="58F9285E"/>
    <w:lvl w:ilvl="0" w:tentative="0">
      <w:start w:val="1"/>
      <w:numFmt w:val="decimal"/>
      <w:suff w:val="nothing"/>
      <w:lvlText w:val="%1、"/>
      <w:lvlJc w:val="left"/>
    </w:lvl>
  </w:abstractNum>
  <w:abstractNum w:abstractNumId="3">
    <w:nsid w:val="67E31D0A"/>
    <w:multiLevelType w:val="singleLevel"/>
    <w:tmpl w:val="67E31D0A"/>
    <w:lvl w:ilvl="0" w:tentative="0">
      <w:start w:val="5"/>
      <w:numFmt w:val="chineseCounting"/>
      <w:suff w:val="space"/>
      <w:lvlText w:val="第%1部分"/>
      <w:lvlJc w:val="left"/>
      <w:rPr>
        <w:rFonts w:hint="eastAsia"/>
      </w:rPr>
    </w:lvl>
  </w:abstractNum>
  <w:abstractNum w:abstractNumId="4">
    <w:nsid w:val="76F89F37"/>
    <w:multiLevelType w:val="multilevel"/>
    <w:tmpl w:val="76F89F37"/>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9B8647A"/>
    <w:rsid w:val="187478A4"/>
    <w:rsid w:val="408349B9"/>
    <w:rsid w:val="50CB62C7"/>
    <w:rsid w:val="68AF5CC9"/>
    <w:rsid w:val="70503E6E"/>
    <w:rsid w:val="78581143"/>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3">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4"/>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4"/>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2"/>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9077</Words>
  <Characters>9527</Characters>
  <Lines>0</Lines>
  <Paragraphs>0</Paragraphs>
  <TotalTime>0</TotalTime>
  <ScaleCrop>false</ScaleCrop>
  <LinksUpToDate>false</LinksUpToDate>
  <CharactersWithSpaces>9620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2025-04-09T03:26:25Z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16D4083839B74C4CAC84330D8F776A4F_11</vt:lpwstr>
  </property>
  <property fmtid="{D5CDD505-2E9C-101B-9397-08002B2CF9AE}" pid="4" name="KSOTemplateDocerSaveRecord">
    <vt:lpwstr>eyJoZGlkIjoiOGZmMGEyMTExYzIwYTdiNzM0MTg5ODVmNWVkOTY4ZjIiLCJ1c2VySWQiOiIyNDExNTM3NjIifQ==</vt:lpwstr>
  </property>
</Properties>
</file>