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3</w:t>
      </w:r>
    </w:p>
    <w:p w14:paraId="185B15DC">
      <w:pPr>
        <w:spacing w:line="700" w:lineRule="exact"/>
        <w:jc w:val="center"/>
        <w:rPr>
          <w:rFonts w:hint="eastAsia" w:ascii="黑体" w:hAnsi="宋体" w:eastAsia="黑体"/>
          <w:color w:val="000000"/>
          <w:sz w:val="44"/>
        </w:rPr>
      </w:pPr>
    </w:p>
    <w:p w14:paraId="796248B9">
      <w:pPr>
        <w:spacing w:line="700" w:lineRule="exact"/>
        <w:rPr>
          <w:rFonts w:hint="default" w:ascii="黑体" w:hAnsi="宋体" w:eastAsia="宋体"/>
          <w:color w:val="000000"/>
          <w:sz w:val="44"/>
          <w:lang w:val="en-US" w:eastAsia="zh-CN"/>
        </w:rPr>
      </w:pPr>
      <w:r>
        <w:rPr>
          <w:rFonts w:hint="eastAsia" w:ascii="黑体" w:hAnsi="宋体" w:eastAsia="黑体"/>
          <w:color w:val="000000"/>
          <w:sz w:val="44"/>
        </w:rPr>
        <w:t>项目名称：</w:t>
      </w:r>
      <w:r>
        <w:rPr>
          <w:rFonts w:hint="eastAsia"/>
          <w:b/>
          <w:sz w:val="32"/>
          <w:szCs w:val="32"/>
          <w:lang w:val="en-US" w:eastAsia="zh-CN"/>
        </w:rPr>
        <w:t>重症医学科气囊压力监测仪（第三次）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5</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eastAsia="宋体" w:cs="宋体"/>
          <w:color w:val="000000"/>
          <w:sz w:val="24"/>
          <w:szCs w:val="24"/>
          <w:lang w:val="en-US" w:eastAsia="zh-CN"/>
        </w:rPr>
        <w:t>重症医学科气囊压力监测仪</w:t>
      </w:r>
      <w:r>
        <w:rPr>
          <w:rFonts w:hint="eastAsia" w:ascii="宋体" w:hAnsi="宋体" w:eastAsia="宋体" w:cs="宋体"/>
          <w:color w:val="000000"/>
          <w:sz w:val="24"/>
          <w:szCs w:val="24"/>
        </w:rPr>
        <w:t>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default" w:ascii="宋体" w:hAnsi="宋体" w:cs="宋体"/>
          <w:color w:val="000000"/>
          <w:sz w:val="24"/>
          <w:szCs w:val="24"/>
          <w:lang w:val="en-US"/>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val="en-US" w:eastAsia="zh-CN"/>
        </w:rPr>
        <w:t>包三：</w:t>
      </w:r>
      <w:r>
        <w:rPr>
          <w:rFonts w:hint="eastAsia" w:ascii="宋体" w:hAnsi="宋体" w:eastAsia="宋体" w:cs="宋体"/>
          <w:b w:val="0"/>
          <w:bCs w:val="0"/>
          <w:color w:val="000000"/>
          <w:sz w:val="24"/>
          <w:szCs w:val="24"/>
          <w:lang w:val="en-US" w:eastAsia="zh-CN"/>
        </w:rPr>
        <w:t>重症医学科气囊压力监测仪</w:t>
      </w:r>
      <w:r>
        <w:rPr>
          <w:rFonts w:hint="eastAsia" w:ascii="宋体" w:hAnsi="宋体" w:cs="宋体"/>
          <w:b w:val="0"/>
          <w:bCs w:val="0"/>
          <w:color w:val="000000"/>
          <w:sz w:val="24"/>
          <w:szCs w:val="24"/>
          <w:lang w:val="en-US" w:eastAsia="zh-CN"/>
        </w:rPr>
        <w:t xml:space="preserve"> </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3</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8</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14</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19</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5C1D2B9C">
      <w:pPr>
        <w:snapToGrid w:val="0"/>
        <w:spacing w:line="340" w:lineRule="exact"/>
        <w:ind w:firstLine="241" w:firstLineChars="100"/>
        <w:rPr>
          <w:rFonts w:hint="eastAsia" w:ascii="宋体" w:hAnsi="宋体" w:cs="宋体"/>
          <w:b/>
          <w:i/>
          <w:sz w:val="24"/>
          <w:szCs w:val="24"/>
          <w:u w:val="single"/>
        </w:rPr>
      </w:pP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4E758D34">
      <w:pPr>
        <w:widowControl/>
        <w:ind w:firstLine="643" w:firstLineChars="200"/>
        <w:jc w:val="both"/>
        <w:rPr>
          <w:rFonts w:hint="default" w:ascii="宋体" w:hAnsi="宋体" w:eastAsia="宋体" w:cs="宋体"/>
          <w:sz w:val="32"/>
          <w:szCs w:val="32"/>
          <w:lang w:val="en-US" w:eastAsia="zh-CN"/>
        </w:rPr>
      </w:pPr>
      <w:bookmarkStart w:id="0" w:name="_Toc26554093"/>
      <w:bookmarkStart w:id="1" w:name="_Toc49090575"/>
      <w:bookmarkStart w:id="2" w:name="_Toc5953"/>
      <w:r>
        <w:rPr>
          <w:rFonts w:hint="eastAsia" w:ascii="宋体" w:hAnsi="宋体" w:eastAsia="宋体" w:cs="宋体"/>
          <w:b/>
          <w:bCs/>
          <w:sz w:val="32"/>
          <w:szCs w:val="32"/>
          <w:lang w:eastAsia="zh-CN" w:bidi="ar"/>
        </w:rPr>
        <w:t>包三：</w:t>
      </w:r>
      <w:r>
        <w:rPr>
          <w:rFonts w:hint="eastAsia"/>
          <w:b/>
          <w:sz w:val="32"/>
          <w:szCs w:val="32"/>
          <w:lang w:val="en-US" w:eastAsia="zh-CN"/>
        </w:rPr>
        <w:t>重症医学科气囊压力监测仪1台</w:t>
      </w:r>
      <w:r>
        <w:rPr>
          <w:rFonts w:hint="eastAsia" w:eastAsia="宋体"/>
          <w:b/>
          <w:sz w:val="32"/>
          <w:szCs w:val="32"/>
          <w:lang w:val="en-US" w:eastAsia="zh-CN"/>
        </w:rPr>
        <w:t>，总预算3.5万元</w:t>
      </w:r>
    </w:p>
    <w:p w14:paraId="20591A91">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63B15359">
      <w:pPr>
        <w:pStyle w:val="4"/>
        <w:keepNext w:val="0"/>
        <w:keepLines w:val="0"/>
        <w:pageBreakBefore w:val="0"/>
        <w:widowControl w:val="0"/>
        <w:kinsoku/>
        <w:wordWrap/>
        <w:overflowPunct/>
        <w:topLinePunct w:val="0"/>
        <w:bidi w:val="0"/>
        <w:snapToGrid/>
        <w:spacing w:line="240" w:lineRule="auto"/>
        <w:ind w:left="0" w:leftChars="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一、主要技术参数和要求</w:t>
      </w:r>
    </w:p>
    <w:p w14:paraId="1E850D72">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1.显示功能：LCD屏，实时显示压力，描绘波形图，显示设定信息、电池电量信息、患者ID；</w:t>
      </w:r>
    </w:p>
    <w:p w14:paraId="357FF896">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2.精确压力控制：高精度压力传感模块和微型气泵精确控制压力；</w:t>
      </w:r>
      <w:r>
        <w:rPr>
          <w:rFonts w:hint="eastAsia" w:ascii="宋体" w:hAnsi="宋体" w:eastAsia="宋体" w:cs="宋体"/>
          <w:b w:val="0"/>
          <w:sz w:val="21"/>
          <w:szCs w:val="21"/>
        </w:rPr>
        <w:t>（需提供证明材料）</w:t>
      </w:r>
    </w:p>
    <w:p w14:paraId="522A3EA1">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3.压力保护功能：双重压力保护机制，使用安全；</w:t>
      </w:r>
    </w:p>
    <w:p w14:paraId="018B56D8">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4.压力测量范围：0 - 95 cmH2O；</w:t>
      </w:r>
      <w:r>
        <w:rPr>
          <w:rFonts w:hint="eastAsia" w:ascii="宋体" w:hAnsi="宋体" w:eastAsia="宋体" w:cs="宋体"/>
          <w:b w:val="0"/>
          <w:sz w:val="21"/>
          <w:szCs w:val="21"/>
        </w:rPr>
        <w:t>（需提供证明材料）</w:t>
      </w:r>
    </w:p>
    <w:p w14:paraId="17AA84CA">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5.压力设置范围：0 - 70 cmH2O，最小调节1 cmH2O；</w:t>
      </w:r>
      <w:r>
        <w:rPr>
          <w:rFonts w:hint="eastAsia" w:ascii="宋体" w:hAnsi="宋体" w:eastAsia="宋体" w:cs="宋体"/>
          <w:b w:val="0"/>
          <w:sz w:val="21"/>
          <w:szCs w:val="21"/>
        </w:rPr>
        <w:t>（需提供证明材料）</w:t>
      </w:r>
    </w:p>
    <w:p w14:paraId="7280471B">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6.放气时间：0 - 60s，可调节，最小调节1s；</w:t>
      </w:r>
    </w:p>
    <w:p w14:paraId="7A48A555">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7.监控仪密封性： </w:t>
      </w:r>
      <w:r>
        <w:rPr>
          <w:rFonts w:hint="eastAsia"/>
          <w:lang w:val="en-US" w:eastAsia="zh-CN"/>
        </w:rPr>
        <w:t>≤</w:t>
      </w:r>
      <w:r>
        <w:rPr>
          <w:rFonts w:hint="eastAsia" w:asciiTheme="minorHAnsi" w:hAnsiTheme="minorHAnsi" w:eastAsiaTheme="minorEastAsia" w:cstheme="minorBidi"/>
          <w:kern w:val="2"/>
          <w:sz w:val="21"/>
          <w:szCs w:val="24"/>
          <w:lang w:val="en-US" w:eastAsia="zh-CN" w:bidi="ar-SA"/>
        </w:rPr>
        <w:t>2 cmH2O/min;</w:t>
      </w:r>
    </w:p>
    <w:p w14:paraId="383FB887">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8.运行时噪音：</w:t>
      </w:r>
      <w:r>
        <w:rPr>
          <w:rFonts w:hint="eastAsia"/>
          <w:lang w:val="en-US" w:eastAsia="zh-CN"/>
        </w:rPr>
        <w:t>≤</w:t>
      </w:r>
      <w:r>
        <w:rPr>
          <w:rFonts w:hint="eastAsia" w:asciiTheme="minorHAnsi" w:hAnsiTheme="minorHAnsi" w:eastAsiaTheme="minorEastAsia" w:cstheme="minorBidi"/>
          <w:kern w:val="2"/>
          <w:sz w:val="21"/>
          <w:szCs w:val="24"/>
          <w:lang w:val="en-US" w:eastAsia="zh-CN" w:bidi="ar-SA"/>
        </w:rPr>
        <w:t xml:space="preserve"> 55dB（A）；</w:t>
      </w:r>
    </w:p>
    <w:p w14:paraId="01ED39B9">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9.内部电池供电时间：≥8小时</w:t>
      </w:r>
      <w:r>
        <w:rPr>
          <w:rFonts w:hint="eastAsia" w:cstheme="minorBidi"/>
          <w:kern w:val="2"/>
          <w:sz w:val="21"/>
          <w:szCs w:val="24"/>
          <w:lang w:val="en-US" w:eastAsia="zh-CN" w:bidi="ar-SA"/>
        </w:rPr>
        <w:t>；</w:t>
      </w:r>
      <w:r>
        <w:rPr>
          <w:rFonts w:hint="eastAsia" w:ascii="宋体" w:hAnsi="宋体" w:eastAsia="宋体" w:cs="宋体"/>
          <w:b w:val="0"/>
          <w:sz w:val="21"/>
          <w:szCs w:val="21"/>
        </w:rPr>
        <w:t>（需提供证明材料）</w:t>
      </w:r>
    </w:p>
    <w:p w14:paraId="1AF07C46">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10.连接管路尺寸：≥1.8 m；</w:t>
      </w:r>
    </w:p>
    <w:p w14:paraId="3517AD54">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11.数据存储：配置≥32G存储器，实时存储患者数据，数据可导出；</w:t>
      </w:r>
      <w:r>
        <w:rPr>
          <w:rFonts w:hint="eastAsia" w:ascii="宋体" w:hAnsi="宋体" w:eastAsia="宋体" w:cs="宋体"/>
          <w:b w:val="0"/>
          <w:sz w:val="21"/>
          <w:szCs w:val="21"/>
        </w:rPr>
        <w:t>（需提供证明材料）</w:t>
      </w:r>
    </w:p>
    <w:p w14:paraId="7B7A4BF4">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12.故障诊断：≥3种故障自诊断功能覆盖所有故障；</w:t>
      </w:r>
      <w:r>
        <w:rPr>
          <w:rFonts w:hint="eastAsia" w:ascii="宋体" w:hAnsi="宋体" w:eastAsia="宋体" w:cs="宋体"/>
          <w:b w:val="0"/>
          <w:sz w:val="21"/>
          <w:szCs w:val="21"/>
        </w:rPr>
        <w:t>（需提供证明材料）</w:t>
      </w:r>
    </w:p>
    <w:p w14:paraId="1528F73A">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13.声光报警：有提示和报警两种声光报警功能。</w:t>
      </w:r>
    </w:p>
    <w:p w14:paraId="13D2DE66">
      <w:pPr>
        <w:pStyle w:val="4"/>
        <w:keepNext w:val="0"/>
        <w:keepLines w:val="0"/>
        <w:pageBreakBefore w:val="0"/>
        <w:widowControl w:val="0"/>
        <w:kinsoku/>
        <w:wordWrap/>
        <w:overflowPunct/>
        <w:topLinePunct w:val="0"/>
        <w:bidi w:val="0"/>
        <w:snapToGrid/>
        <w:spacing w:line="240" w:lineRule="auto"/>
        <w:ind w:left="0"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二、配置清单</w:t>
      </w:r>
    </w:p>
    <w:p w14:paraId="2AAC7A77">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1.主机1台</w:t>
      </w:r>
    </w:p>
    <w:p w14:paraId="021FB58E">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2.气囊监测管路2个</w:t>
      </w:r>
    </w:p>
    <w:p w14:paraId="05CF8C89">
      <w:pPr>
        <w:rPr>
          <w:rFonts w:hint="default"/>
          <w:lang w:val="en-US" w:eastAsia="zh-CN"/>
        </w:rPr>
      </w:pPr>
    </w:p>
    <w:p w14:paraId="1BCEEDB2">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5C55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F1D12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A984E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410EEA1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37A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1E9CADD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43D517C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112D0A52">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CC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232284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6E06A11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0B07FE90">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cs="宋体"/>
                <w:b w:val="0"/>
                <w:bCs/>
                <w:szCs w:val="24"/>
                <w:lang w:val="en-US" w:eastAsia="zh-CN"/>
              </w:rPr>
              <w:t>主机</w:t>
            </w:r>
            <w:r>
              <w:rPr>
                <w:rFonts w:hint="eastAsia" w:hAnsi="宋体" w:eastAsia="宋体" w:cs="宋体"/>
                <w:b w:val="0"/>
                <w:bCs/>
                <w:szCs w:val="24"/>
              </w:rPr>
              <w:t>原厂免费质保≥三年</w:t>
            </w:r>
          </w:p>
        </w:tc>
      </w:tr>
      <w:tr w14:paraId="4EE9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094D81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15AA6946">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1DA4E71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610BDB6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5BBE611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47A0B36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611D2F6E">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643F8515">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77230B99">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03DC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9AC2BB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0E3FA06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1C6B94C1">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50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BFA70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227D8ED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4605D39D">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10C1BA4A">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0D20D95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593E93D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649A23E7">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1DDA9764">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69D2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B18DD6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3CB50CF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C58EC06">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719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2495C9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5FFC4D88">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4E378751">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5FF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96CED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3A64C7F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23CE1B1D">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5971EEBD">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517B4499">
      <w:pPr>
        <w:rPr>
          <w:rFonts w:hint="eastAsia" w:ascii="宋体" w:hAnsi="宋体" w:eastAsia="宋体" w:cs="宋体"/>
          <w:b/>
          <w:bCs/>
          <w:color w:val="000000"/>
          <w:kern w:val="2"/>
          <w:sz w:val="28"/>
          <w:szCs w:val="28"/>
          <w:lang w:val="zh-CN" w:eastAsia="zh-CN" w:bidi="ar-SA"/>
        </w:rPr>
      </w:pPr>
      <w:r>
        <w:rPr>
          <w:rFonts w:hint="eastAsia" w:ascii="宋体" w:hAnsi="宋体" w:eastAsia="宋体" w:cs="宋体"/>
          <w:b/>
          <w:bCs/>
          <w:color w:val="000000"/>
          <w:kern w:val="2"/>
          <w:sz w:val="28"/>
          <w:szCs w:val="28"/>
          <w:lang w:val="zh-CN" w:eastAsia="zh-CN" w:bidi="ar-SA"/>
        </w:rPr>
        <w:t>包三：</w:t>
      </w:r>
    </w:p>
    <w:p w14:paraId="22537451">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48498339">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E890FD6">
      <w:pPr>
        <w:spacing w:line="360" w:lineRule="auto"/>
        <w:jc w:val="left"/>
        <w:rPr>
          <w:rFonts w:hAnsi="宋体" w:cs="宋体"/>
          <w:b w:val="0"/>
          <w:bCs/>
        </w:rPr>
      </w:pPr>
      <w:r>
        <w:rPr>
          <w:rFonts w:hint="eastAsia" w:hAnsi="宋体" w:cs="宋体"/>
          <w:b w:val="0"/>
          <w:bCs/>
        </w:rPr>
        <w:t>采用综合评分法。</w:t>
      </w:r>
    </w:p>
    <w:p w14:paraId="16938856">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2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463C23DC">
            <w:pPr>
              <w:keepNext w:val="0"/>
              <w:keepLines w:val="0"/>
              <w:widowControl w:val="0"/>
              <w:suppressLineNumbers w:val="0"/>
              <w:spacing w:before="0" w:beforeAutospacing="0" w:after="0" w:afterAutospacing="0"/>
              <w:ind w:left="0" w:right="0"/>
              <w:jc w:val="both"/>
              <w:rPr>
                <w:rFonts w:hint="default"/>
                <w:szCs w:val="20"/>
                <w:u w:val="single"/>
                <w:lang w:val="en-US"/>
              </w:rPr>
            </w:pPr>
            <w:r>
              <w:rPr>
                <w:rFonts w:hint="eastAsia" w:ascii="Times New Roman" w:hAnsi="Times New Roman" w:eastAsia="宋体" w:cs="宋体"/>
                <w:kern w:val="2"/>
                <w:sz w:val="21"/>
                <w:szCs w:val="24"/>
                <w:u w:val="single"/>
                <w:lang w:val="en-US" w:eastAsia="zh-CN" w:bidi="ar"/>
              </w:rPr>
              <w:t>综合评估法：具体采用打分法</w:t>
            </w:r>
          </w:p>
          <w:p w14:paraId="2C2CC76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说明：只有初步评审合格的投标人，才能进入详细评审。初步评审办法详见招标文件。</w:t>
            </w:r>
          </w:p>
          <w:p w14:paraId="62AB7268">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对于初步评审合格的投标人，本次详细评审采用综合评估法，具体采用打分法，得分最高者为中标候选人，其中：</w:t>
            </w:r>
          </w:p>
          <w:p w14:paraId="7A806872">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1</w:t>
            </w:r>
            <w:r>
              <w:rPr>
                <w:rFonts w:hint="eastAsia" w:ascii="Times New Roman" w:hAnsi="Times New Roman" w:eastAsia="宋体" w:cs="宋体"/>
                <w:bCs/>
                <w:kern w:val="2"/>
                <w:sz w:val="21"/>
                <w:szCs w:val="24"/>
                <w:lang w:val="en-US" w:eastAsia="zh-CN" w:bidi="ar"/>
              </w:rPr>
              <w:t>、报价：</w:t>
            </w:r>
            <w:r>
              <w:rPr>
                <w:rFonts w:hint="default" w:ascii="Times New Roman" w:hAnsi="Times New Roman" w:eastAsia="宋体" w:cs="Times New Roman"/>
                <w:bCs/>
                <w:kern w:val="2"/>
                <w:sz w:val="21"/>
                <w:szCs w:val="24"/>
                <w:lang w:val="en-US" w:eastAsia="zh-CN" w:bidi="ar"/>
              </w:rPr>
              <w:t>30</w:t>
            </w:r>
            <w:r>
              <w:rPr>
                <w:rFonts w:hint="eastAsia" w:ascii="Times New Roman" w:hAnsi="Times New Roman" w:eastAsia="宋体" w:cs="宋体"/>
                <w:bCs/>
                <w:kern w:val="2"/>
                <w:sz w:val="21"/>
                <w:szCs w:val="24"/>
                <w:lang w:val="en-US" w:eastAsia="zh-CN" w:bidi="ar"/>
              </w:rPr>
              <w:t>分</w:t>
            </w:r>
          </w:p>
          <w:p w14:paraId="359829E3">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bCs/>
                <w:kern w:val="2"/>
                <w:sz w:val="21"/>
                <w:szCs w:val="24"/>
                <w:lang w:val="en-US" w:eastAsia="zh-CN" w:bidi="ar"/>
              </w:rPr>
              <w:t>（</w:t>
            </w:r>
            <w:r>
              <w:rPr>
                <w:rFonts w:hint="eastAsia" w:ascii="Times New Roman" w:hAnsi="Times New Roman" w:eastAsia="宋体" w:cs="宋体"/>
                <w:kern w:val="2"/>
                <w:sz w:val="21"/>
                <w:szCs w:val="24"/>
                <w:lang w:val="en-US" w:eastAsia="zh-CN" w:bidi="ar"/>
              </w:rPr>
              <w:t>价格分采用低价优先法计算，即满足招标文件要求且投标价格最低的投标报价为评标基准价，其他供应商的价格分按照下列公式计算：</w:t>
            </w:r>
          </w:p>
          <w:p w14:paraId="517FD4BF">
            <w:pPr>
              <w:keepNext w:val="0"/>
              <w:keepLines w:val="0"/>
              <w:widowControl w:val="0"/>
              <w:suppressLineNumbers w:val="0"/>
              <w:spacing w:before="0" w:beforeAutospacing="0" w:after="0" w:afterAutospacing="0"/>
              <w:ind w:left="0" w:right="0"/>
              <w:jc w:val="both"/>
              <w:rPr>
                <w:rFonts w:hint="default"/>
                <w:bCs/>
                <w:szCs w:val="20"/>
                <w:lang w:val="en-US"/>
              </w:rPr>
            </w:pPr>
            <w:r>
              <w:rPr>
                <w:rFonts w:hint="eastAsia" w:ascii="Times New Roman" w:hAnsi="Times New Roman" w:eastAsia="宋体" w:cs="宋体"/>
                <w:kern w:val="2"/>
                <w:sz w:val="21"/>
                <w:szCs w:val="24"/>
                <w:lang w:val="en-US" w:eastAsia="zh-CN" w:bidi="ar"/>
              </w:rPr>
              <w:t>价格分</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（评标基准价</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投标报价）</w:t>
            </w:r>
            <w:r>
              <w:rPr>
                <w:rFonts w:hint="default" w:ascii="Times New Roman" w:hAnsi="Times New Roman" w:eastAsia="宋体" w:cs="Times New Roman"/>
                <w:kern w:val="2"/>
                <w:sz w:val="21"/>
                <w:szCs w:val="24"/>
                <w:lang w:val="en-US" w:eastAsia="zh-CN" w:bidi="ar"/>
              </w:rPr>
              <w:t>×30</w:t>
            </w:r>
            <w:r>
              <w:rPr>
                <w:rFonts w:hint="eastAsia" w:ascii="Times New Roman" w:hAnsi="Times New Roman" w:eastAsia="宋体" w:cs="宋体"/>
                <w:kern w:val="2"/>
                <w:sz w:val="21"/>
                <w:szCs w:val="24"/>
                <w:lang w:val="en-US" w:eastAsia="zh-CN" w:bidi="ar"/>
              </w:rPr>
              <w:t>（小数点保留两位）</w:t>
            </w:r>
            <w:r>
              <w:rPr>
                <w:rFonts w:hint="eastAsia" w:ascii="Times New Roman" w:hAnsi="Times New Roman" w:eastAsia="宋体" w:cs="宋体"/>
                <w:bCs/>
                <w:kern w:val="2"/>
                <w:sz w:val="21"/>
                <w:szCs w:val="24"/>
                <w:lang w:val="en-US" w:eastAsia="zh-CN" w:bidi="ar"/>
              </w:rPr>
              <w:t>）</w:t>
            </w:r>
          </w:p>
          <w:p w14:paraId="17E11B2E">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、技术、性能、配置：</w:t>
            </w:r>
            <w:r>
              <w:rPr>
                <w:rFonts w:hint="default" w:ascii="Times New Roman" w:hAnsi="Times New Roman" w:eastAsia="宋体" w:cs="Times New Roman"/>
                <w:kern w:val="2"/>
                <w:sz w:val="21"/>
                <w:szCs w:val="24"/>
                <w:lang w:val="en-US" w:eastAsia="zh-CN" w:bidi="ar"/>
              </w:rPr>
              <w:t>46</w:t>
            </w:r>
            <w:r>
              <w:rPr>
                <w:rFonts w:hint="eastAsia" w:ascii="Times New Roman" w:hAnsi="Times New Roman" w:eastAsia="宋体" w:cs="宋体"/>
                <w:kern w:val="2"/>
                <w:sz w:val="21"/>
                <w:szCs w:val="24"/>
                <w:lang w:val="en-US" w:eastAsia="zh-CN" w:bidi="ar"/>
              </w:rPr>
              <w:t>分</w:t>
            </w:r>
          </w:p>
          <w:p w14:paraId="7F463C24">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评委根据招标文件中《技术规格及商务要求》，结合投标文件提供的佐证材料等进行评审：</w:t>
            </w:r>
          </w:p>
          <w:p w14:paraId="16DFB10F">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2.1</w:t>
            </w:r>
            <w:r>
              <w:rPr>
                <w:rFonts w:hint="eastAsia" w:ascii="Times New Roman" w:hAnsi="Times New Roman" w:eastAsia="宋体" w:cs="宋体"/>
                <w:kern w:val="2"/>
                <w:sz w:val="21"/>
                <w:szCs w:val="24"/>
                <w:lang w:val="en-US" w:eastAsia="zh-CN" w:bidi="ar"/>
              </w:rPr>
              <w:t>、全部满足标书基本要求得</w:t>
            </w:r>
            <w:r>
              <w:rPr>
                <w:rFonts w:hint="default" w:ascii="Times New Roman" w:hAnsi="Times New Roman" w:eastAsia="宋体" w:cs="Times New Roman"/>
                <w:kern w:val="2"/>
                <w:sz w:val="21"/>
                <w:szCs w:val="24"/>
                <w:lang w:val="en-US" w:eastAsia="zh-CN" w:bidi="ar"/>
              </w:rPr>
              <w:t>45</w:t>
            </w:r>
            <w:r>
              <w:rPr>
                <w:rFonts w:hint="eastAsia" w:ascii="Times New Roman" w:hAnsi="Times New Roman" w:eastAsia="宋体" w:cs="宋体"/>
                <w:kern w:val="2"/>
                <w:sz w:val="21"/>
                <w:szCs w:val="24"/>
                <w:lang w:val="en-US" w:eastAsia="zh-CN" w:bidi="ar"/>
              </w:rPr>
              <w:t>分，正偏离不加分，有一项★号指标负偏离做废标处理；</w:t>
            </w:r>
          </w:p>
          <w:p w14:paraId="6CCD154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2.2</w:t>
            </w:r>
            <w:r>
              <w:rPr>
                <w:rFonts w:hint="eastAsia" w:ascii="Times New Roman" w:hAnsi="Times New Roman" w:eastAsia="宋体" w:cs="宋体"/>
                <w:kern w:val="2"/>
                <w:sz w:val="21"/>
                <w:szCs w:val="24"/>
                <w:lang w:val="en-US" w:eastAsia="zh-CN" w:bidi="ar"/>
              </w:rPr>
              <w:t>、有一项▲号指标负偏离扣</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分；（★号、▲号指标须提供相关证明材料（包括制造商技术白皮书、</w:t>
            </w:r>
            <w:r>
              <w:rPr>
                <w:rFonts w:hint="default" w:ascii="Times New Roman" w:hAnsi="Times New Roman" w:eastAsia="宋体" w:cs="Times New Roman"/>
                <w:kern w:val="2"/>
                <w:sz w:val="21"/>
                <w:szCs w:val="24"/>
                <w:lang w:val="en-US" w:eastAsia="zh-CN" w:bidi="ar"/>
              </w:rPr>
              <w:t>Data Sheet</w:t>
            </w:r>
            <w:r>
              <w:rPr>
                <w:rFonts w:hint="eastAsia" w:ascii="Times New Roman" w:hAnsi="Times New Roman" w:eastAsia="宋体" w:cs="宋体"/>
                <w:kern w:val="2"/>
                <w:sz w:val="21"/>
                <w:szCs w:val="24"/>
                <w:lang w:val="en-US" w:eastAsia="zh-CN" w:bidi="ar"/>
              </w:rPr>
              <w:t>、国家承认的第三方机构出具的检测报告、厂家公开发行的宣传彩页等）并在投标文件技术参数偏离表备注栏中标注相应证明文件页码，未标注页码视为负偏离）</w:t>
            </w:r>
          </w:p>
          <w:p w14:paraId="76DC757D">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2.3</w:t>
            </w:r>
            <w:r>
              <w:rPr>
                <w:rFonts w:hint="eastAsia" w:ascii="Times New Roman" w:hAnsi="Times New Roman" w:eastAsia="宋体" w:cs="宋体"/>
                <w:kern w:val="2"/>
                <w:sz w:val="21"/>
                <w:szCs w:val="24"/>
                <w:lang w:val="en-US" w:eastAsia="zh-CN" w:bidi="ar"/>
              </w:rPr>
              <w:t>、非★、▲号指标每负偏离一项扣</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分，扣完为止。</w:t>
            </w:r>
          </w:p>
          <w:p w14:paraId="14471CB1">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、技术培训方案</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r>
              <w:rPr>
                <w:rFonts w:hint="default" w:ascii="Times New Roman" w:hAnsi="Times New Roman" w:eastAsia="宋体" w:cs="Times New Roman"/>
                <w:kern w:val="2"/>
                <w:sz w:val="21"/>
                <w:szCs w:val="24"/>
                <w:lang w:val="en-US" w:eastAsia="zh-CN" w:bidi="ar"/>
              </w:rPr>
              <w:t>)</w:t>
            </w:r>
          </w:p>
          <w:p w14:paraId="739F208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供应商提供对用户的操作培训、业务功能培训等相关培训计划方案，除正常操作培训外，针对甲方是教学培训单位的特点，提出其他技术培训保障方案；</w:t>
            </w:r>
          </w:p>
          <w:p w14:paraId="0B9F8C0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、技术培训保障方案内容详实、科学、合理，考虑周全，培训计划针对性强、内容详实，培训人员配备齐全、技术水平高、分工明确、岗位设置科学合理，培训率承诺高，得</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p>
          <w:p w14:paraId="16AF96D7">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3.2</w:t>
            </w:r>
            <w:r>
              <w:rPr>
                <w:rFonts w:hint="eastAsia" w:ascii="Times New Roman" w:hAnsi="Times New Roman" w:eastAsia="宋体" w:cs="宋体"/>
                <w:kern w:val="2"/>
                <w:sz w:val="21"/>
                <w:szCs w:val="24"/>
                <w:lang w:val="en-US" w:eastAsia="zh-CN" w:bidi="ar"/>
              </w:rPr>
              <w:t>、技术培训保障方案内容详实、考虑较全，培训计划具体，培训人员齐全，培训率承诺较高，得</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w:t>
            </w:r>
          </w:p>
          <w:p w14:paraId="650C0BC4">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3.3</w:t>
            </w:r>
            <w:r>
              <w:rPr>
                <w:rFonts w:hint="eastAsia" w:ascii="Times New Roman" w:hAnsi="Times New Roman" w:eastAsia="宋体" w:cs="宋体"/>
                <w:kern w:val="2"/>
                <w:sz w:val="21"/>
                <w:szCs w:val="24"/>
                <w:lang w:val="en-US" w:eastAsia="zh-CN" w:bidi="ar"/>
              </w:rPr>
              <w:t>．技术培训保障方案表述简单，培训计划简单、培训人员较少，培训率承诺一般，得</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w:t>
            </w:r>
          </w:p>
          <w:p w14:paraId="4062891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3.4</w:t>
            </w:r>
            <w:r>
              <w:rPr>
                <w:rFonts w:hint="eastAsia" w:ascii="Times New Roman" w:hAnsi="Times New Roman" w:eastAsia="宋体" w:cs="宋体"/>
                <w:kern w:val="2"/>
                <w:sz w:val="21"/>
                <w:szCs w:val="24"/>
                <w:lang w:val="en-US" w:eastAsia="zh-CN" w:bidi="ar"/>
              </w:rPr>
              <w:t>．未提供方案或方案无可行性不得分。</w:t>
            </w:r>
          </w:p>
          <w:p w14:paraId="62C1038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、业绩：</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w:t>
            </w:r>
          </w:p>
          <w:p w14:paraId="521CA161">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提供投标产品的制造商或其代理商</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年至今同品牌同型号的业绩证明文件（销售合同复印件），每提供</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份合同得</w:t>
            </w:r>
            <w:r>
              <w:rPr>
                <w:rFonts w:hint="default" w:ascii="Times New Roman" w:hAnsi="Times New Roman" w:eastAsia="宋体" w:cs="Times New Roman"/>
                <w:kern w:val="2"/>
                <w:sz w:val="21"/>
                <w:szCs w:val="24"/>
                <w:lang w:val="en-US" w:eastAsia="zh-CN" w:bidi="ar"/>
              </w:rPr>
              <w:t>2.5</w:t>
            </w:r>
            <w:r>
              <w:rPr>
                <w:rFonts w:hint="eastAsia" w:ascii="Times New Roman" w:hAnsi="Times New Roman" w:eastAsia="宋体" w:cs="宋体"/>
                <w:kern w:val="2"/>
                <w:sz w:val="21"/>
                <w:szCs w:val="24"/>
                <w:lang w:val="en-US" w:eastAsia="zh-CN" w:bidi="ar"/>
              </w:rPr>
              <w:t>分，最多得</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分。未提供合同或合同型号不一致、关键页不清晰者，该项不得分。</w:t>
            </w:r>
          </w:p>
          <w:p w14:paraId="2C9B6099">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、售后服务：</w:t>
            </w:r>
            <w:r>
              <w:rPr>
                <w:rFonts w:hint="default" w:ascii="Times New Roman" w:hAnsi="Times New Roman" w:eastAsia="宋体" w:cs="Times New Roman"/>
                <w:kern w:val="2"/>
                <w:sz w:val="21"/>
                <w:szCs w:val="24"/>
                <w:lang w:val="en-US" w:eastAsia="zh-CN" w:bidi="ar"/>
              </w:rPr>
              <w:t>9</w:t>
            </w:r>
            <w:r>
              <w:rPr>
                <w:rFonts w:hint="eastAsia" w:ascii="Times New Roman" w:hAnsi="Times New Roman" w:eastAsia="宋体" w:cs="宋体"/>
                <w:kern w:val="2"/>
                <w:sz w:val="21"/>
                <w:szCs w:val="24"/>
                <w:lang w:val="en-US" w:eastAsia="zh-CN" w:bidi="ar"/>
              </w:rPr>
              <w:t>分</w:t>
            </w:r>
          </w:p>
          <w:p w14:paraId="105E073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bCs/>
                <w:kern w:val="2"/>
                <w:sz w:val="21"/>
                <w:szCs w:val="24"/>
                <w:lang w:val="en-US" w:eastAsia="zh-CN" w:bidi="ar"/>
              </w:rPr>
              <w:t>5.1</w:t>
            </w:r>
            <w:r>
              <w:rPr>
                <w:rFonts w:hint="eastAsia" w:ascii="Times New Roman" w:hAnsi="Times New Roman" w:eastAsia="宋体" w:cs="宋体"/>
                <w:bCs/>
                <w:kern w:val="2"/>
                <w:sz w:val="21"/>
                <w:szCs w:val="24"/>
                <w:lang w:val="en-US" w:eastAsia="zh-CN" w:bidi="ar"/>
              </w:rPr>
              <w:t>、售后服务实施响应</w:t>
            </w:r>
            <w:r>
              <w:rPr>
                <w:rFonts w:hint="default" w:ascii="Times New Roman" w:hAnsi="Times New Roman" w:eastAsia="宋体" w:cs="Times New Roman"/>
                <w:bCs/>
                <w:kern w:val="2"/>
                <w:sz w:val="21"/>
                <w:szCs w:val="24"/>
                <w:lang w:val="en-US" w:eastAsia="zh-CN" w:bidi="ar"/>
              </w:rPr>
              <w:t xml:space="preserve"> (7</w:t>
            </w:r>
            <w:r>
              <w:rPr>
                <w:rFonts w:hint="eastAsia" w:ascii="Times New Roman" w:hAnsi="Times New Roman" w:eastAsia="宋体" w:cs="宋体"/>
                <w:bCs/>
                <w:kern w:val="2"/>
                <w:sz w:val="21"/>
                <w:szCs w:val="24"/>
                <w:lang w:val="en-US" w:eastAsia="zh-CN" w:bidi="ar"/>
              </w:rPr>
              <w:t>分</w:t>
            </w:r>
            <w:r>
              <w:rPr>
                <w:rFonts w:hint="default" w:ascii="Times New Roman" w:hAnsi="Times New Roman" w:eastAsia="宋体" w:cs="Times New Roman"/>
                <w:bCs/>
                <w:kern w:val="2"/>
                <w:sz w:val="21"/>
                <w:szCs w:val="24"/>
                <w:lang w:val="en-US" w:eastAsia="zh-CN" w:bidi="ar"/>
              </w:rPr>
              <w:t>)</w:t>
            </w:r>
            <w:r>
              <w:rPr>
                <w:rFonts w:hint="eastAsia" w:ascii="Times New Roman" w:hAnsi="Times New Roman" w:eastAsia="宋体" w:cs="宋体"/>
                <w:kern w:val="2"/>
                <w:sz w:val="21"/>
                <w:szCs w:val="24"/>
                <w:lang w:val="en-US" w:eastAsia="zh-CN" w:bidi="ar"/>
              </w:rPr>
              <w:t>：</w:t>
            </w:r>
          </w:p>
          <w:p w14:paraId="5E5CEB0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根据投标人质保期内售后服务（响应时间，回访巡检方案、故障解决措施、技术人员保障、备品配件价格等）、本地化服务方案（江苏省内各服务网点、维修网点设置情况以及技术人员安排情况）等服务内容，</w:t>
            </w:r>
          </w:p>
          <w:p w14:paraId="388230BE">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）售后方案内容详实、科学、合理，考虑周全，对产品质量管控措施要求全面到位，相关服务承诺内容详实，人员配备齐全，分工明确、岗位设置科学合理，人员配备齐全、设备配备齐全、先进者得</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分；</w:t>
            </w:r>
          </w:p>
          <w:p w14:paraId="6F2022B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）售后方案内容详实、考虑较全，对产品质量管控措施要求到位，相关服务承诺内容具体，人员配备齐全、设备配备齐全者得</w:t>
            </w: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分；</w:t>
            </w:r>
          </w:p>
          <w:p w14:paraId="1BDC617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1"/>
                <w:lang w:val="en-US" w:eastAsia="zh-CN" w:bidi="ar"/>
              </w:rPr>
              <w:t>售后方案表述简单，人员配备有所欠缺、设备配备一般者得1分；</w:t>
            </w:r>
          </w:p>
          <w:p w14:paraId="5B9F2FD3">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）未提供服务方案的不得分。</w:t>
            </w:r>
          </w:p>
          <w:p w14:paraId="70D87F1F">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5.2</w:t>
            </w:r>
            <w:r>
              <w:rPr>
                <w:rFonts w:hint="eastAsia" w:ascii="Times New Roman" w:hAnsi="Times New Roman" w:eastAsia="宋体" w:cs="宋体"/>
                <w:bCs/>
                <w:kern w:val="2"/>
                <w:sz w:val="21"/>
                <w:szCs w:val="24"/>
                <w:lang w:val="en-US" w:eastAsia="zh-CN" w:bidi="ar"/>
              </w:rPr>
              <w:t>、质保期（</w:t>
            </w:r>
            <w:r>
              <w:rPr>
                <w:rFonts w:hint="default" w:ascii="Times New Roman" w:hAnsi="Times New Roman" w:eastAsia="宋体" w:cs="Times New Roman"/>
                <w:bCs/>
                <w:kern w:val="2"/>
                <w:sz w:val="21"/>
                <w:szCs w:val="24"/>
                <w:lang w:val="en-US" w:eastAsia="zh-CN" w:bidi="ar"/>
              </w:rPr>
              <w:t>2</w:t>
            </w:r>
            <w:r>
              <w:rPr>
                <w:rFonts w:hint="eastAsia" w:ascii="Times New Roman" w:hAnsi="Times New Roman" w:eastAsia="宋体" w:cs="宋体"/>
                <w:bCs/>
                <w:kern w:val="2"/>
                <w:sz w:val="21"/>
                <w:szCs w:val="24"/>
                <w:lang w:val="en-US" w:eastAsia="zh-CN" w:bidi="ar"/>
              </w:rPr>
              <w:t>分）：</w:t>
            </w:r>
          </w:p>
          <w:p w14:paraId="3B6AE937">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09A34856">
      <w:pPr>
        <w:rPr>
          <w:rFonts w:hint="eastAsia" w:hAnsi="宋体" w:cs="宋体"/>
          <w:bCs/>
        </w:rPr>
      </w:pPr>
      <w:bookmarkStart w:id="5" w:name="_GoBack"/>
      <w:bookmarkEnd w:id="5"/>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2"/>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3"/>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3"/>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4"/>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4"/>
        <w:rPr>
          <w:lang w:val="zh-CN"/>
        </w:rPr>
      </w:pPr>
    </w:p>
    <w:p w14:paraId="1476603B">
      <w:pPr>
        <w:spacing w:line="340" w:lineRule="exact"/>
        <w:rPr>
          <w:rFonts w:hint="eastAsia"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187478A4"/>
    <w:rsid w:val="320528A5"/>
    <w:rsid w:val="408349B9"/>
    <w:rsid w:val="614758EE"/>
    <w:rsid w:val="68AF5CC9"/>
    <w:rsid w:val="70503E6E"/>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11845</Words>
  <Characters>12422</Characters>
  <Lines>0</Lines>
  <Paragraphs>0</Paragraphs>
  <TotalTime>5</TotalTime>
  <ScaleCrop>false</ScaleCrop>
  <LinksUpToDate>false</LinksUpToDate>
  <CharactersWithSpaces>12537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2025-05-07T09:05:24Z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16D4083839B74C4CAC84330D8F776A4F_11</vt:lpwstr>
  </property>
  <property fmtid="{D5CDD505-2E9C-101B-9397-08002B2CF9AE}" pid="4" name="KSOTemplateDocerSaveRecord">
    <vt:lpwstr>eyJoZGlkIjoiOGZmMGEyMTExYzIwYTdiNzM0MTg5ODVmNWVkOTY4ZjIiLCJ1c2VySWQiOiIyNDExNTM3NjIifQ==</vt:lpwstr>
  </property>
</Properties>
</file>