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4</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宋体"/>
          <w:b/>
          <w:color w:val="000000"/>
          <w:sz w:val="32"/>
          <w:szCs w:val="32"/>
          <w:lang w:val="en-US" w:eastAsia="zh-CN"/>
        </w:rPr>
      </w:pPr>
      <w:r>
        <w:rPr>
          <w:rFonts w:hint="eastAsia" w:ascii="黑体" w:hAnsi="宋体" w:eastAsia="黑体"/>
          <w:color w:val="000000"/>
          <w:sz w:val="44"/>
        </w:rPr>
        <w:t>项目名称：</w:t>
      </w:r>
      <w:r>
        <w:rPr>
          <w:rFonts w:hint="eastAsia"/>
          <w:b/>
          <w:sz w:val="32"/>
          <w:szCs w:val="32"/>
          <w:lang w:val="en-US" w:eastAsia="zh-CN"/>
        </w:rPr>
        <w:t>转运监护仪、呼末二氧化碳模块、心电记录模块（第三次）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5</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府采购法》等相关法律法规，我院拟对</w:t>
      </w:r>
      <w:r>
        <w:rPr>
          <w:rFonts w:hint="eastAsia" w:ascii="宋体" w:hAnsi="宋体" w:eastAsia="宋体" w:cs="宋体"/>
          <w:color w:val="000000"/>
          <w:sz w:val="24"/>
          <w:szCs w:val="24"/>
          <w:lang w:val="en-US" w:eastAsia="zh-CN"/>
        </w:rPr>
        <w:t>转运监护仪、呼末二氧化碳模块、心电记录模块</w:t>
      </w:r>
      <w:r>
        <w:rPr>
          <w:rFonts w:hint="eastAsia" w:ascii="宋体" w:hAnsi="宋体" w:eastAsia="宋体" w:cs="宋体"/>
          <w:color w:val="000000"/>
          <w:sz w:val="24"/>
          <w:szCs w:val="24"/>
        </w:rPr>
        <w:t>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default" w:ascii="宋体" w:hAnsi="宋体" w:cs="宋体"/>
          <w:color w:val="000000"/>
          <w:sz w:val="24"/>
          <w:szCs w:val="24"/>
          <w:lang w:val="en-US"/>
        </w:rPr>
      </w:pPr>
      <w:r>
        <w:rPr>
          <w:rFonts w:hint="eastAsia" w:ascii="宋体" w:hAnsi="宋体" w:cs="宋体"/>
          <w:b/>
          <w:bCs/>
          <w:color w:val="000000"/>
          <w:sz w:val="24"/>
          <w:szCs w:val="24"/>
        </w:rPr>
        <w:t>1.1项目名称：</w:t>
      </w:r>
      <w:r>
        <w:rPr>
          <w:rFonts w:hint="eastAsia" w:ascii="宋体" w:hAnsi="宋体" w:eastAsia="宋体" w:cs="宋体"/>
          <w:b/>
          <w:bCs/>
          <w:color w:val="000000"/>
          <w:sz w:val="24"/>
          <w:szCs w:val="24"/>
          <w:lang w:val="en-US" w:eastAsia="zh-CN"/>
        </w:rPr>
        <w:t>包二：</w:t>
      </w:r>
      <w:r>
        <w:rPr>
          <w:rFonts w:hint="eastAsia" w:ascii="宋体" w:hAnsi="宋体" w:eastAsia="宋体" w:cs="宋体"/>
          <w:color w:val="000000"/>
          <w:sz w:val="24"/>
          <w:szCs w:val="24"/>
          <w:lang w:val="en-US" w:eastAsia="zh-CN"/>
        </w:rPr>
        <w:t>转运监护仪、呼末二氧化碳模块、心电记录模块</w:t>
      </w:r>
      <w:r>
        <w:rPr>
          <w:rFonts w:hint="eastAsia" w:ascii="宋体" w:hAnsi="宋体" w:eastAsia="宋体" w:cs="宋体"/>
          <w:b/>
          <w:bCs/>
          <w:color w:val="000000"/>
          <w:sz w:val="24"/>
          <w:szCs w:val="24"/>
          <w:lang w:val="en-US" w:eastAsia="zh-CN"/>
        </w:rPr>
        <w:t>包三：</w:t>
      </w:r>
      <w:r>
        <w:rPr>
          <w:rFonts w:hint="eastAsia" w:ascii="宋体" w:hAnsi="宋体" w:eastAsia="宋体" w:cs="宋体"/>
          <w:color w:val="000000"/>
          <w:sz w:val="24"/>
          <w:szCs w:val="24"/>
          <w:lang w:val="en-US" w:eastAsia="zh-CN"/>
        </w:rPr>
        <w:t>转运床</w:t>
      </w:r>
      <w:r>
        <w:rPr>
          <w:rFonts w:hint="eastAsia" w:ascii="宋体" w:hAnsi="宋体" w:cs="宋体"/>
          <w:b w:val="0"/>
          <w:bCs w:val="0"/>
          <w:color w:val="000000"/>
          <w:sz w:val="24"/>
          <w:szCs w:val="24"/>
          <w:lang w:val="en-US" w:eastAsia="zh-CN"/>
        </w:rPr>
        <w:t xml:space="preserve"> </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4</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highlight w:val="none"/>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w:t>
      </w:r>
      <w:r>
        <w:rPr>
          <w:rFonts w:hint="eastAsia" w:ascii="宋体" w:hAnsi="宋体" w:cs="宋体"/>
          <w:b/>
          <w:bCs/>
          <w:color w:val="000000"/>
          <w:sz w:val="24"/>
          <w:szCs w:val="24"/>
          <w:highlight w:val="none"/>
          <w:u w:val="single"/>
        </w:rPr>
        <w:t>25年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30</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日17:30前，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highlight w:val="none"/>
        </w:rPr>
      </w:pPr>
      <w:r>
        <w:rPr>
          <w:rFonts w:hint="eastAsia" w:ascii="宋体" w:hAnsi="宋体" w:cs="宋体"/>
          <w:bCs/>
          <w:sz w:val="24"/>
          <w:szCs w:val="24"/>
          <w:highlight w:val="none"/>
        </w:rPr>
        <w:t>（6）</w:t>
      </w:r>
      <w:r>
        <w:rPr>
          <w:rFonts w:hint="eastAsia" w:ascii="宋体" w:hAnsi="宋体" w:cs="宋体"/>
          <w:b/>
          <w:bCs/>
          <w:kern w:val="0"/>
          <w:sz w:val="24"/>
          <w:szCs w:val="24"/>
          <w:highlight w:val="none"/>
        </w:rPr>
        <w:t>本项目特定的资质要求：</w:t>
      </w:r>
    </w:p>
    <w:p w14:paraId="0B2D5EA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（7）提供</w:t>
      </w:r>
      <w:r>
        <w:rPr>
          <w:rFonts w:hint="eastAsia" w:ascii="宋体" w:hAnsi="宋体" w:cs="宋体"/>
          <w:bCs/>
          <w:sz w:val="24"/>
          <w:szCs w:val="24"/>
          <w:highlight w:val="none"/>
          <w:lang w:val="zh-CN"/>
        </w:rPr>
        <w:t>法定代表人身份证复印件</w:t>
      </w:r>
      <w:r>
        <w:rPr>
          <w:rFonts w:hint="eastAsia" w:ascii="宋体" w:hAnsi="宋体" w:cs="宋体"/>
          <w:bCs/>
          <w:sz w:val="24"/>
          <w:szCs w:val="24"/>
          <w:highlight w:val="none"/>
        </w:rPr>
        <w:t>并加盖投标单位公章</w:t>
      </w:r>
      <w:r>
        <w:rPr>
          <w:rFonts w:hint="eastAsia" w:ascii="宋体" w:hAnsi="宋体" w:cs="宋体"/>
          <w:bCs/>
          <w:sz w:val="24"/>
          <w:szCs w:val="24"/>
          <w:highlight w:val="none"/>
          <w:lang w:val="zh-CN"/>
        </w:rPr>
        <w:t>，如果是委托被授权人参加现场开标，还需提供</w:t>
      </w:r>
      <w:r>
        <w:rPr>
          <w:rFonts w:hint="eastAsia" w:ascii="宋体" w:hAnsi="宋体" w:cs="宋体"/>
          <w:bCs/>
          <w:sz w:val="24"/>
          <w:szCs w:val="24"/>
          <w:highlight w:val="none"/>
        </w:rPr>
        <w:t>法定代表人授权书并加盖投标单位公章、</w:t>
      </w:r>
      <w:r>
        <w:rPr>
          <w:rFonts w:hint="eastAsia" w:ascii="宋体" w:hAnsi="宋体" w:cs="宋体"/>
          <w:bCs/>
          <w:sz w:val="24"/>
          <w:szCs w:val="24"/>
          <w:highlight w:val="none"/>
          <w:lang w:val="zh-CN"/>
        </w:rPr>
        <w:t>被授权人身份证复印件</w:t>
      </w:r>
      <w:r>
        <w:rPr>
          <w:rFonts w:hint="eastAsia" w:ascii="宋体" w:hAnsi="宋体" w:cs="宋体"/>
          <w:bCs/>
          <w:sz w:val="24"/>
          <w:szCs w:val="24"/>
          <w:highlight w:val="none"/>
        </w:rPr>
        <w:t>并加盖投标单位公章</w:t>
      </w:r>
      <w:r>
        <w:rPr>
          <w:rFonts w:hint="eastAsia" w:ascii="宋体" w:hAnsi="宋体" w:cs="宋体"/>
          <w:bCs/>
          <w:sz w:val="24"/>
          <w:szCs w:val="24"/>
          <w:highlight w:val="none"/>
          <w:lang w:val="zh-CN"/>
        </w:rPr>
        <w:t>。（格式详见附件）</w:t>
      </w:r>
    </w:p>
    <w:p w14:paraId="20FC29BB">
      <w:pPr>
        <w:widowControl/>
        <w:spacing w:line="340" w:lineRule="exact"/>
        <w:jc w:val="left"/>
        <w:rPr>
          <w:rFonts w:hint="eastAsia" w:ascii="宋体" w:hAnsi="宋体" w:cs="宋体"/>
          <w:bCs/>
          <w:sz w:val="24"/>
          <w:szCs w:val="24"/>
          <w:highlight w:val="none"/>
        </w:rPr>
      </w:pPr>
    </w:p>
    <w:p w14:paraId="04D9BBC9">
      <w:pPr>
        <w:snapToGrid w:val="0"/>
        <w:spacing w:line="340" w:lineRule="exact"/>
        <w:rPr>
          <w:rFonts w:hint="eastAsia" w:ascii="宋体" w:hAnsi="宋体" w:cs="宋体"/>
          <w:bCs/>
          <w:sz w:val="24"/>
          <w:szCs w:val="24"/>
          <w:highlight w:val="none"/>
        </w:rPr>
      </w:pPr>
      <w:r>
        <w:rPr>
          <w:rFonts w:hint="eastAsia" w:ascii="宋体" w:hAnsi="宋体" w:cs="宋体"/>
          <w:bCs/>
          <w:sz w:val="24"/>
          <w:szCs w:val="24"/>
          <w:highlight w:val="none"/>
        </w:rPr>
        <w:t>（二）下列供应商不得参加本次采购活动：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（1）供应商单位负责人为同一人或者存在直接控股、管理关系的不同供应商，不得参加同一合同项下的政府采购活动。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（2）凡为采购项目提供整体设计、规范编制或者项目管理、监理、检测等服务的供应商，不得再参加本项目的采购活动。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highlight w:val="none"/>
        </w:rPr>
      </w:pPr>
    </w:p>
    <w:p w14:paraId="67CE9774">
      <w:pPr>
        <w:snapToGrid w:val="0"/>
        <w:spacing w:line="340" w:lineRule="exact"/>
        <w:rPr>
          <w:rFonts w:hint="eastAsia" w:ascii="宋体" w:hAnsi="宋体" w:cs="宋体"/>
          <w:b/>
          <w:sz w:val="24"/>
          <w:szCs w:val="24"/>
          <w:highlight w:val="none"/>
        </w:rPr>
      </w:pPr>
      <w:r>
        <w:rPr>
          <w:rFonts w:hint="eastAsia" w:ascii="宋体" w:hAnsi="宋体" w:cs="宋体"/>
          <w:b/>
          <w:sz w:val="24"/>
          <w:szCs w:val="24"/>
          <w:highlight w:val="none"/>
        </w:rPr>
        <w:t>三、投标文件接收、开标时间及地点</w:t>
      </w:r>
    </w:p>
    <w:p w14:paraId="7B952B22">
      <w:pPr>
        <w:snapToGrid w:val="0"/>
        <w:spacing w:line="340" w:lineRule="exact"/>
        <w:rPr>
          <w:rFonts w:hint="eastAsia" w:ascii="宋体" w:hAnsi="宋体" w:cs="宋体"/>
          <w:bCs/>
          <w:sz w:val="24"/>
          <w:szCs w:val="24"/>
          <w:highlight w:val="none"/>
        </w:rPr>
      </w:pPr>
      <w:r>
        <w:rPr>
          <w:rFonts w:hint="eastAsia" w:ascii="宋体" w:hAnsi="宋体" w:cs="宋体"/>
          <w:bCs/>
          <w:sz w:val="24"/>
          <w:szCs w:val="24"/>
          <w:highlight w:val="none"/>
        </w:rPr>
        <w:t>投标文件编制要求：</w:t>
      </w:r>
      <w:r>
        <w:rPr>
          <w:rFonts w:hint="eastAsia" w:ascii="宋体" w:hAnsi="宋体" w:cs="宋体"/>
          <w:b/>
          <w:sz w:val="24"/>
          <w:szCs w:val="24"/>
          <w:highlight w:val="none"/>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highlight w:val="none"/>
          <w:u w:val="single"/>
        </w:rPr>
      </w:pPr>
      <w:r>
        <w:rPr>
          <w:rFonts w:hint="eastAsia" w:ascii="宋体" w:hAnsi="宋体" w:cs="宋体"/>
          <w:sz w:val="24"/>
          <w:szCs w:val="24"/>
          <w:highlight w:val="none"/>
        </w:rPr>
        <w:t>投标文件接收截止时间、开标时间：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9</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0前到场签到，过时取消资格） </w:t>
      </w:r>
      <w:bookmarkStart w:id="5" w:name="_GoBack"/>
      <w:bookmarkEnd w:id="5"/>
    </w:p>
    <w:p w14:paraId="661EECEA">
      <w:pPr>
        <w:snapToGrid w:val="0"/>
        <w:spacing w:line="340" w:lineRule="exact"/>
        <w:rPr>
          <w:rFonts w:hint="eastAsia" w:ascii="宋体" w:hAnsi="宋体" w:cs="宋体"/>
          <w:sz w:val="24"/>
          <w:szCs w:val="24"/>
          <w:highlight w:val="none"/>
        </w:rPr>
      </w:pPr>
      <w:r>
        <w:rPr>
          <w:rFonts w:hint="eastAsia" w:ascii="宋体" w:hAnsi="宋体" w:cs="宋体"/>
          <w:sz w:val="24"/>
          <w:szCs w:val="24"/>
          <w:highlight w:val="none"/>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highlight w:val="none"/>
          <w:lang w:val="zh-CN"/>
        </w:rPr>
      </w:pPr>
      <w:r>
        <w:rPr>
          <w:rFonts w:hint="eastAsia" w:ascii="宋体" w:hAnsi="宋体" w:cs="宋体"/>
          <w:bCs/>
          <w:iCs/>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36C48157">
      <w:pPr>
        <w:pStyle w:val="3"/>
        <w:spacing w:line="360" w:lineRule="auto"/>
        <w:ind w:left="0" w:leftChars="0" w:firstLine="0" w:firstLineChars="0"/>
        <w:jc w:val="both"/>
        <w:rPr>
          <w:rFonts w:hint="default" w:asciiTheme="minorHAnsi" w:hAnsiTheme="minorHAnsi" w:eastAsiaTheme="minorEastAsia" w:cstheme="minorBidi"/>
          <w:b/>
          <w:kern w:val="2"/>
          <w:position w:val="0"/>
          <w:sz w:val="32"/>
          <w:szCs w:val="32"/>
          <w:lang w:val="en-US" w:eastAsia="zh-CN" w:bidi="ar-SA"/>
        </w:rPr>
      </w:pPr>
      <w:bookmarkStart w:id="0" w:name="_Toc5953"/>
      <w:bookmarkStart w:id="1" w:name="_Toc49090575"/>
      <w:bookmarkStart w:id="2" w:name="_Toc26554093"/>
      <w:r>
        <w:rPr>
          <w:rFonts w:hint="eastAsia" w:ascii="宋体" w:hAnsi="宋体" w:eastAsia="宋体" w:cs="宋体"/>
          <w:b/>
          <w:bCs/>
          <w:sz w:val="32"/>
          <w:szCs w:val="32"/>
          <w:lang w:eastAsia="zh-CN" w:bidi="ar"/>
        </w:rPr>
        <w:t>包二：</w:t>
      </w:r>
      <w:r>
        <w:rPr>
          <w:rFonts w:hint="eastAsia" w:asciiTheme="minorHAnsi" w:hAnsiTheme="minorHAnsi" w:eastAsiaTheme="minorEastAsia" w:cstheme="minorBidi"/>
          <w:b/>
          <w:kern w:val="2"/>
          <w:position w:val="0"/>
          <w:sz w:val="32"/>
          <w:szCs w:val="32"/>
          <w:lang w:val="en-US" w:eastAsia="zh-CN" w:bidi="ar-SA"/>
        </w:rPr>
        <w:t>急诊科转运监护仪</w:t>
      </w:r>
      <w:r>
        <w:rPr>
          <w:rFonts w:hint="eastAsia" w:asciiTheme="minorHAnsi" w:eastAsiaTheme="minorEastAsia" w:cstheme="minorBidi"/>
          <w:b/>
          <w:kern w:val="2"/>
          <w:position w:val="0"/>
          <w:sz w:val="32"/>
          <w:szCs w:val="32"/>
          <w:lang w:val="en-US" w:eastAsia="zh-CN" w:bidi="ar-SA"/>
        </w:rPr>
        <w:t>1</w:t>
      </w:r>
      <w:r>
        <w:rPr>
          <w:rFonts w:hint="eastAsia" w:asciiTheme="minorHAnsi" w:hAnsiTheme="minorHAnsi" w:eastAsiaTheme="minorEastAsia" w:cstheme="minorBidi"/>
          <w:b/>
          <w:kern w:val="2"/>
          <w:position w:val="0"/>
          <w:sz w:val="32"/>
          <w:szCs w:val="32"/>
          <w:lang w:val="en-US" w:eastAsia="zh-CN" w:bidi="ar-SA"/>
        </w:rPr>
        <w:t>台，</w:t>
      </w:r>
      <w:r>
        <w:rPr>
          <w:rFonts w:hint="eastAsia"/>
          <w:b/>
          <w:sz w:val="32"/>
          <w:szCs w:val="32"/>
          <w:lang w:val="en-US" w:eastAsia="zh-CN"/>
        </w:rPr>
        <w:t>最高限价</w:t>
      </w:r>
      <w:r>
        <w:rPr>
          <w:rFonts w:hint="eastAsia" w:asciiTheme="minorHAnsi" w:eastAsiaTheme="minorEastAsia" w:cstheme="minorBidi"/>
          <w:b/>
          <w:kern w:val="2"/>
          <w:position w:val="0"/>
          <w:sz w:val="32"/>
          <w:szCs w:val="32"/>
          <w:lang w:val="en-US" w:eastAsia="zh-CN" w:bidi="ar-SA"/>
        </w:rPr>
        <w:t>2</w:t>
      </w:r>
      <w:r>
        <w:rPr>
          <w:rFonts w:hint="eastAsia" w:asciiTheme="minorHAnsi" w:hAnsiTheme="minorHAnsi" w:eastAsiaTheme="minorEastAsia" w:cstheme="minorBidi"/>
          <w:b/>
          <w:kern w:val="2"/>
          <w:position w:val="0"/>
          <w:sz w:val="32"/>
          <w:szCs w:val="32"/>
          <w:lang w:val="en-US" w:eastAsia="zh-CN" w:bidi="ar-SA"/>
        </w:rPr>
        <w:t>万元</w:t>
      </w:r>
    </w:p>
    <w:p w14:paraId="167469AA">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50D1C8E2">
      <w:pPr>
        <w:numPr>
          <w:ilvl w:val="0"/>
          <w:numId w:val="2"/>
        </w:numPr>
        <w:jc w:val="left"/>
        <w:rPr>
          <w:rFonts w:hint="eastAsia" w:ascii="宋体" w:hAnsi="宋体" w:eastAsia="宋体" w:cs="宋体"/>
          <w:lang w:val="en-US" w:eastAsia="zh-CN"/>
        </w:rPr>
      </w:pPr>
      <w:r>
        <w:rPr>
          <w:rFonts w:hint="eastAsia" w:eastAsia="宋体"/>
          <w:sz w:val="21"/>
          <w:szCs w:val="21"/>
          <w:lang w:val="en-US" w:eastAsia="zh-CN"/>
        </w:rPr>
        <w:t>技术要求</w:t>
      </w:r>
    </w:p>
    <w:p w14:paraId="091CE3DD">
      <w:pPr>
        <w:pStyle w:val="2"/>
        <w:keepNext w:val="0"/>
        <w:keepLines w:val="0"/>
        <w:pageBreakBefore w:val="0"/>
        <w:widowControl w:val="0"/>
        <w:kinsoku/>
        <w:wordWrap/>
        <w:overflowPunct/>
        <w:topLinePunct w:val="0"/>
        <w:bidi w:val="0"/>
        <w:snapToGrid/>
        <w:spacing w:line="240" w:lineRule="auto"/>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4672F523">
      <w:pPr>
        <w:rPr>
          <w:rFonts w:hint="default" w:hAnsi="宋体" w:cs="宋体"/>
          <w:b w:val="0"/>
          <w:bCs/>
          <w:szCs w:val="24"/>
          <w:lang w:val="en-US" w:eastAsia="zh-CN"/>
        </w:rPr>
      </w:pPr>
      <w:r>
        <w:rPr>
          <w:rFonts w:hint="eastAsia"/>
        </w:rPr>
        <w:t>★</w:t>
      </w:r>
      <w:r>
        <w:rPr>
          <w:rFonts w:hint="eastAsia" w:hAnsi="宋体" w:cs="宋体"/>
          <w:b w:val="0"/>
          <w:bCs/>
          <w:szCs w:val="24"/>
          <w:lang w:val="en-US" w:eastAsia="zh-CN"/>
        </w:rPr>
        <w:t>1.转运监护仪支持插入迈瑞BeneVisionN12监护仪插槽作为参数模块使用，即插即用；</w:t>
      </w:r>
    </w:p>
    <w:p w14:paraId="3BDBF001">
      <w:pPr>
        <w:rPr>
          <w:rFonts w:hint="eastAsia" w:hAnsi="宋体" w:cs="宋体"/>
          <w:b w:val="0"/>
          <w:bCs/>
          <w:szCs w:val="24"/>
          <w:lang w:val="en-US" w:eastAsia="zh-CN"/>
        </w:rPr>
      </w:pPr>
      <w:r>
        <w:rPr>
          <w:rFonts w:hint="eastAsia" w:hAnsi="宋体" w:cs="宋体"/>
          <w:b w:val="0"/>
          <w:bCs/>
          <w:szCs w:val="24"/>
          <w:lang w:val="en-US" w:eastAsia="zh-CN"/>
        </w:rPr>
        <w:t>▲2.适用于成人、小儿、新生儿的监测；</w:t>
      </w:r>
    </w:p>
    <w:p w14:paraId="7F933B70">
      <w:pPr>
        <w:rPr>
          <w:rFonts w:hint="eastAsia" w:hAnsi="宋体" w:cs="宋体"/>
          <w:b w:val="0"/>
          <w:bCs/>
          <w:szCs w:val="24"/>
          <w:lang w:val="en-US" w:eastAsia="zh-CN"/>
        </w:rPr>
      </w:pPr>
      <w:r>
        <w:rPr>
          <w:rFonts w:hint="eastAsia" w:hAnsi="宋体" w:cs="宋体"/>
          <w:b w:val="0"/>
          <w:bCs/>
          <w:szCs w:val="24"/>
          <w:lang w:val="en-US" w:eastAsia="zh-CN"/>
        </w:rPr>
        <w:t>3.转运监护仪，满足救护车，直升飞机和固定翼飞机,通过相关转运标准；</w:t>
      </w:r>
    </w:p>
    <w:p w14:paraId="36191428">
      <w:pPr>
        <w:rPr>
          <w:rFonts w:hint="eastAsia" w:hAnsi="宋体" w:cs="宋体"/>
          <w:b w:val="0"/>
          <w:bCs/>
          <w:szCs w:val="24"/>
          <w:lang w:val="en-US" w:eastAsia="zh-CN"/>
        </w:rPr>
      </w:pPr>
      <w:r>
        <w:rPr>
          <w:rFonts w:hint="eastAsia" w:hAnsi="宋体" w:cs="宋体"/>
          <w:b w:val="0"/>
          <w:bCs/>
          <w:szCs w:val="24"/>
          <w:lang w:val="en-US" w:eastAsia="zh-CN"/>
        </w:rPr>
        <w:t>▲4.≥5.5英寸彩色触摸电容显示屏，支持屏幕手势滑动操作，支持穿戴医用防护手套操作；</w:t>
      </w:r>
    </w:p>
    <w:p w14:paraId="4E5C392A">
      <w:pPr>
        <w:rPr>
          <w:rFonts w:hint="eastAsia" w:hAnsi="宋体" w:cs="宋体"/>
          <w:b w:val="0"/>
          <w:bCs/>
          <w:szCs w:val="24"/>
          <w:lang w:val="en-US" w:eastAsia="zh-CN"/>
        </w:rPr>
      </w:pPr>
      <w:r>
        <w:rPr>
          <w:rFonts w:hint="eastAsia" w:hAnsi="宋体" w:cs="宋体"/>
          <w:b w:val="0"/>
          <w:bCs/>
          <w:szCs w:val="24"/>
          <w:lang w:val="en-US" w:eastAsia="zh-CN"/>
        </w:rPr>
        <w:t>5.整机重量＜1Kg，小巧便携；</w:t>
      </w:r>
    </w:p>
    <w:p w14:paraId="4309D54D">
      <w:pPr>
        <w:rPr>
          <w:rFonts w:hint="eastAsia" w:hAnsi="宋体" w:cs="宋体"/>
          <w:b w:val="0"/>
          <w:bCs/>
          <w:szCs w:val="24"/>
          <w:lang w:val="en-US" w:eastAsia="zh-CN"/>
        </w:rPr>
      </w:pPr>
      <w:r>
        <w:rPr>
          <w:rFonts w:hint="eastAsia" w:hAnsi="宋体" w:cs="宋体"/>
          <w:b w:val="0"/>
          <w:bCs/>
          <w:szCs w:val="24"/>
          <w:lang w:val="en-US" w:eastAsia="zh-CN"/>
        </w:rPr>
        <w:t>6.IP44防尘防水，易清洁和适用医院内外不同临床救治环境；</w:t>
      </w:r>
    </w:p>
    <w:p w14:paraId="62A1C680">
      <w:pPr>
        <w:rPr>
          <w:rFonts w:hint="eastAsia" w:hAnsi="宋体" w:cs="宋体"/>
          <w:b w:val="0"/>
          <w:bCs/>
          <w:szCs w:val="24"/>
          <w:lang w:val="en-US" w:eastAsia="zh-CN"/>
        </w:rPr>
      </w:pPr>
      <w:r>
        <w:rPr>
          <w:rFonts w:hint="eastAsia" w:hAnsi="宋体" w:cs="宋体"/>
          <w:b w:val="0"/>
          <w:bCs/>
          <w:szCs w:val="24"/>
          <w:lang w:val="en-US" w:eastAsia="zh-CN"/>
        </w:rPr>
        <w:t>7.整机无风扇设计；</w:t>
      </w:r>
    </w:p>
    <w:p w14:paraId="7348F92F">
      <w:pPr>
        <w:rPr>
          <w:rFonts w:hint="eastAsia" w:hAnsi="宋体" w:cs="宋体"/>
          <w:b w:val="0"/>
          <w:bCs/>
          <w:szCs w:val="24"/>
          <w:lang w:val="en-US" w:eastAsia="zh-CN"/>
        </w:rPr>
      </w:pPr>
      <w:r>
        <w:rPr>
          <w:rFonts w:hint="eastAsia" w:hAnsi="宋体" w:cs="宋体"/>
          <w:b w:val="0"/>
          <w:bCs/>
          <w:szCs w:val="24"/>
          <w:lang w:val="en-US" w:eastAsia="zh-CN"/>
        </w:rPr>
        <w:t>▲8.内置锂电池供电，支持≥5小时的持续监测；</w:t>
      </w:r>
    </w:p>
    <w:p w14:paraId="518C745D">
      <w:pPr>
        <w:rPr>
          <w:rFonts w:hint="eastAsia" w:hAnsi="宋体" w:cs="宋体"/>
          <w:b w:val="0"/>
          <w:bCs/>
          <w:szCs w:val="24"/>
          <w:lang w:val="en-US" w:eastAsia="zh-CN"/>
        </w:rPr>
      </w:pPr>
      <w:r>
        <w:rPr>
          <w:rFonts w:hint="eastAsia" w:hAnsi="宋体" w:cs="宋体"/>
          <w:b w:val="0"/>
          <w:bCs/>
          <w:szCs w:val="24"/>
          <w:lang w:val="en-US" w:eastAsia="zh-CN"/>
        </w:rPr>
        <w:t>9.内置DC电源接口，可以进行车载充电；</w:t>
      </w:r>
    </w:p>
    <w:p w14:paraId="1458EA08">
      <w:pPr>
        <w:rPr>
          <w:rFonts w:hint="eastAsia" w:hAnsi="宋体" w:cs="宋体"/>
          <w:b w:val="0"/>
          <w:bCs/>
          <w:szCs w:val="24"/>
          <w:lang w:val="en-US" w:eastAsia="zh-CN"/>
        </w:rPr>
      </w:pPr>
      <w:r>
        <w:rPr>
          <w:rFonts w:hint="eastAsia" w:hAnsi="宋体" w:cs="宋体"/>
          <w:b w:val="0"/>
          <w:bCs/>
          <w:szCs w:val="24"/>
          <w:lang w:val="en-US" w:eastAsia="zh-CN"/>
        </w:rPr>
        <w:t>▲10.具备3/5导心电，阻抗呼吸，血氧、无创血压、2通道体温；</w:t>
      </w:r>
    </w:p>
    <w:p w14:paraId="3216EB01">
      <w:pPr>
        <w:rPr>
          <w:rFonts w:hint="eastAsia" w:hAnsi="宋体" w:cs="宋体"/>
          <w:b w:val="0"/>
          <w:bCs/>
          <w:szCs w:val="24"/>
          <w:lang w:val="en-US" w:eastAsia="zh-CN"/>
        </w:rPr>
      </w:pPr>
      <w:r>
        <w:rPr>
          <w:rFonts w:hint="eastAsia" w:hAnsi="宋体" w:cs="宋体"/>
          <w:b w:val="0"/>
          <w:bCs/>
          <w:szCs w:val="24"/>
          <w:lang w:val="en-US" w:eastAsia="zh-CN"/>
        </w:rPr>
        <w:t xml:space="preserve">11.支持2通道有创血压及模拟输出/除颤同步； </w:t>
      </w:r>
    </w:p>
    <w:p w14:paraId="6AEDC2A5">
      <w:pPr>
        <w:rPr>
          <w:rFonts w:hint="eastAsia" w:hAnsi="宋体" w:cs="宋体"/>
          <w:b w:val="0"/>
          <w:bCs/>
          <w:szCs w:val="24"/>
          <w:lang w:val="en-US" w:eastAsia="zh-CN"/>
        </w:rPr>
      </w:pPr>
      <w:r>
        <w:rPr>
          <w:rFonts w:hint="eastAsia" w:hAnsi="宋体" w:cs="宋体"/>
          <w:b w:val="0"/>
          <w:bCs/>
          <w:szCs w:val="24"/>
          <w:lang w:val="en-US" w:eastAsia="zh-CN"/>
        </w:rPr>
        <w:t>12.支持提供EWS早期预警评分工具，包括NEWS、NEWS2和MEWS，可支持定时自动EWS评分功能，支持动态刷新EWS和EWS报警；</w:t>
      </w:r>
    </w:p>
    <w:p w14:paraId="0F3FBBB9">
      <w:pPr>
        <w:rPr>
          <w:rFonts w:hint="eastAsia" w:hAnsi="宋体" w:cs="宋体"/>
          <w:b w:val="0"/>
          <w:bCs/>
          <w:szCs w:val="24"/>
          <w:lang w:val="en-US" w:eastAsia="zh-CN"/>
        </w:rPr>
      </w:pPr>
      <w:r>
        <w:rPr>
          <w:rFonts w:hint="eastAsia" w:hAnsi="宋体" w:cs="宋体"/>
          <w:b w:val="0"/>
          <w:bCs/>
          <w:szCs w:val="24"/>
          <w:lang w:val="en-US" w:eastAsia="zh-CN"/>
        </w:rPr>
        <w:t>13.心电支持≥3个分析导联实时动态同步分析，并非多个导联波形同屏显示及12导联静息分析；</w:t>
      </w:r>
    </w:p>
    <w:p w14:paraId="4A614C9C">
      <w:pPr>
        <w:rPr>
          <w:rFonts w:hint="eastAsia" w:hAnsi="宋体" w:cs="宋体"/>
          <w:b w:val="0"/>
          <w:bCs/>
          <w:szCs w:val="24"/>
          <w:lang w:val="en-US" w:eastAsia="zh-CN"/>
        </w:rPr>
      </w:pPr>
      <w:r>
        <w:rPr>
          <w:rFonts w:hint="eastAsia" w:hAnsi="宋体" w:cs="宋体"/>
          <w:b w:val="0"/>
          <w:bCs/>
          <w:szCs w:val="24"/>
          <w:lang w:val="en-US" w:eastAsia="zh-CN"/>
        </w:rPr>
        <w:t>14.心率测量范围：成人15 -300 bpm，小儿/新生儿15 - 350 bpm；</w:t>
      </w:r>
    </w:p>
    <w:p w14:paraId="11C4E6B3">
      <w:pPr>
        <w:rPr>
          <w:rFonts w:hint="eastAsia" w:hAnsi="宋体" w:cs="宋体"/>
          <w:b w:val="0"/>
          <w:bCs/>
          <w:szCs w:val="24"/>
          <w:lang w:val="en-US" w:eastAsia="zh-CN"/>
        </w:rPr>
      </w:pPr>
      <w:r>
        <w:rPr>
          <w:rFonts w:hint="eastAsia" w:hAnsi="宋体" w:cs="宋体"/>
          <w:b w:val="0"/>
          <w:bCs/>
          <w:szCs w:val="24"/>
          <w:lang w:val="en-US" w:eastAsia="zh-CN"/>
        </w:rPr>
        <w:t>15.波速提供50mm/s，25 mm/s、12.5 mm/s、6.25 mm/s可选；</w:t>
      </w:r>
    </w:p>
    <w:p w14:paraId="49D31554">
      <w:pPr>
        <w:rPr>
          <w:rFonts w:hint="eastAsia" w:hAnsi="宋体" w:cs="宋体"/>
          <w:b w:val="0"/>
          <w:bCs/>
          <w:szCs w:val="24"/>
          <w:lang w:val="en-US" w:eastAsia="zh-CN"/>
        </w:rPr>
      </w:pPr>
      <w:r>
        <w:rPr>
          <w:rFonts w:hint="eastAsia" w:hAnsi="宋体" w:cs="宋体"/>
          <w:b w:val="0"/>
          <w:bCs/>
          <w:szCs w:val="24"/>
          <w:lang w:val="en-US" w:eastAsia="zh-CN"/>
        </w:rPr>
        <w:t>16.滤波模式提供诊断模式（0.05 -150Hz），监护模式（0.5 -40Hz），ST模式（0.05 - 40Hz），手术模式（1-20Hz）；</w:t>
      </w:r>
    </w:p>
    <w:p w14:paraId="6AE0AF1A">
      <w:pPr>
        <w:rPr>
          <w:rFonts w:hint="eastAsia" w:hAnsi="宋体" w:cs="宋体"/>
          <w:b w:val="0"/>
          <w:bCs/>
          <w:szCs w:val="24"/>
          <w:lang w:val="en-US" w:eastAsia="zh-CN"/>
        </w:rPr>
      </w:pPr>
      <w:r>
        <w:rPr>
          <w:rFonts w:hint="eastAsia" w:hAnsi="宋体" w:cs="宋体"/>
          <w:b w:val="0"/>
          <w:bCs/>
          <w:szCs w:val="24"/>
          <w:lang w:val="en-US" w:eastAsia="zh-CN"/>
        </w:rPr>
        <w:t>▲17.支持室上性心动过速和SVCs/min等室上性心律失常分析；</w:t>
      </w:r>
    </w:p>
    <w:p w14:paraId="30F86FF5">
      <w:pPr>
        <w:rPr>
          <w:rFonts w:hint="eastAsia" w:hAnsi="宋体" w:cs="宋体"/>
          <w:b w:val="0"/>
          <w:bCs/>
          <w:szCs w:val="24"/>
          <w:lang w:val="en-US" w:eastAsia="zh-CN"/>
        </w:rPr>
      </w:pPr>
      <w:r>
        <w:rPr>
          <w:rFonts w:hint="eastAsia" w:hAnsi="宋体" w:cs="宋体"/>
          <w:b w:val="0"/>
          <w:bCs/>
          <w:szCs w:val="24"/>
          <w:lang w:val="en-US" w:eastAsia="zh-CN"/>
        </w:rPr>
        <w:t>▲18.提供ST段分析，提供显示和存储ST值和每个ST的模板；</w:t>
      </w:r>
    </w:p>
    <w:p w14:paraId="45EBDC5A">
      <w:pPr>
        <w:rPr>
          <w:rFonts w:hint="eastAsia" w:hAnsi="宋体" w:cs="宋体"/>
          <w:b w:val="0"/>
          <w:bCs/>
          <w:szCs w:val="24"/>
          <w:lang w:val="en-US" w:eastAsia="zh-CN"/>
        </w:rPr>
      </w:pPr>
      <w:r>
        <w:rPr>
          <w:rFonts w:hint="eastAsia" w:hAnsi="宋体" w:cs="宋体"/>
          <w:b w:val="0"/>
          <w:bCs/>
          <w:szCs w:val="24"/>
          <w:lang w:val="en-US" w:eastAsia="zh-CN"/>
        </w:rPr>
        <w:t>▲19.具有QT/QTc测量功能，提供QT，QTc和ΔQTc参数值，QT和QTc实时监测参数测量范围：200～800 ms；</w:t>
      </w:r>
    </w:p>
    <w:p w14:paraId="04713414">
      <w:pPr>
        <w:rPr>
          <w:rFonts w:hint="eastAsia" w:hAnsi="宋体" w:cs="宋体"/>
          <w:b w:val="0"/>
          <w:bCs/>
          <w:szCs w:val="24"/>
          <w:lang w:val="en-US" w:eastAsia="zh-CN"/>
        </w:rPr>
      </w:pPr>
      <w:r>
        <w:rPr>
          <w:rFonts w:hint="eastAsia" w:hAnsi="宋体" w:cs="宋体"/>
          <w:b w:val="0"/>
          <w:bCs/>
          <w:szCs w:val="24"/>
          <w:lang w:val="en-US" w:eastAsia="zh-CN"/>
        </w:rPr>
        <w:t>20.可显示弱灌注指数（PI）；</w:t>
      </w:r>
    </w:p>
    <w:p w14:paraId="1F021A8B">
      <w:pPr>
        <w:rPr>
          <w:rFonts w:hint="eastAsia" w:hAnsi="宋体" w:cs="宋体"/>
          <w:b w:val="0"/>
          <w:bCs/>
          <w:szCs w:val="24"/>
          <w:lang w:val="en-US" w:eastAsia="zh-CN"/>
        </w:rPr>
      </w:pPr>
      <w:r>
        <w:rPr>
          <w:rFonts w:hint="eastAsia" w:hAnsi="宋体" w:cs="宋体"/>
          <w:b w:val="0"/>
          <w:bCs/>
          <w:szCs w:val="24"/>
          <w:lang w:val="en-US" w:eastAsia="zh-CN"/>
        </w:rPr>
        <w:t>21.提供手动、自动间隔、连续、序列和整点五种无创血压测量模式；</w:t>
      </w:r>
    </w:p>
    <w:p w14:paraId="2EC11925">
      <w:pPr>
        <w:rPr>
          <w:rFonts w:hint="eastAsia" w:hAnsi="宋体" w:cs="宋体"/>
          <w:b w:val="0"/>
          <w:bCs/>
          <w:szCs w:val="24"/>
          <w:lang w:val="en-US" w:eastAsia="zh-CN"/>
        </w:rPr>
      </w:pPr>
      <w:r>
        <w:rPr>
          <w:rFonts w:hint="eastAsia" w:hAnsi="宋体" w:cs="宋体"/>
          <w:b w:val="0"/>
          <w:bCs/>
          <w:szCs w:val="24"/>
          <w:lang w:val="en-US" w:eastAsia="zh-CN"/>
        </w:rPr>
        <w:t>22.IBP测量范围：-50 – 360 mmHg，支持实时PPV测量；</w:t>
      </w:r>
    </w:p>
    <w:p w14:paraId="40EE6154">
      <w:pPr>
        <w:rPr>
          <w:rFonts w:hint="eastAsia" w:hAnsi="宋体" w:cs="宋体"/>
          <w:b w:val="0"/>
          <w:bCs/>
          <w:szCs w:val="24"/>
          <w:lang w:val="en-US" w:eastAsia="zh-CN"/>
        </w:rPr>
      </w:pPr>
      <w:r>
        <w:rPr>
          <w:rFonts w:hint="eastAsia" w:hAnsi="宋体" w:cs="宋体"/>
          <w:b w:val="0"/>
          <w:bCs/>
          <w:szCs w:val="24"/>
          <w:lang w:val="en-US" w:eastAsia="zh-CN"/>
        </w:rPr>
        <w:t>23.≥800条事件回顾。每条报警事件至少能够存储32秒三道相关波形，以及报警触发时所有测量参数值；</w:t>
      </w:r>
    </w:p>
    <w:p w14:paraId="1418B8E6">
      <w:pPr>
        <w:rPr>
          <w:rFonts w:hint="eastAsia" w:hAnsi="宋体" w:cs="宋体"/>
          <w:b w:val="0"/>
          <w:bCs/>
          <w:szCs w:val="24"/>
          <w:lang w:val="en-US" w:eastAsia="zh-CN"/>
        </w:rPr>
      </w:pPr>
      <w:r>
        <w:rPr>
          <w:rFonts w:hint="eastAsia" w:hAnsi="宋体" w:cs="宋体"/>
          <w:b w:val="0"/>
          <w:bCs/>
          <w:szCs w:val="24"/>
          <w:lang w:val="en-US" w:eastAsia="zh-CN"/>
        </w:rPr>
        <w:t>24.≥800条NIBP测量结果回顾；</w:t>
      </w:r>
    </w:p>
    <w:p w14:paraId="1379F9D1">
      <w:pPr>
        <w:rPr>
          <w:rFonts w:hint="eastAsia" w:hAnsi="宋体" w:cs="宋体"/>
          <w:b w:val="0"/>
          <w:bCs/>
          <w:szCs w:val="24"/>
          <w:lang w:val="en-US" w:eastAsia="zh-CN"/>
        </w:rPr>
      </w:pPr>
      <w:r>
        <w:rPr>
          <w:rFonts w:hint="eastAsia" w:hAnsi="宋体" w:cs="宋体"/>
          <w:b w:val="0"/>
          <w:bCs/>
          <w:szCs w:val="24"/>
          <w:lang w:val="en-US" w:eastAsia="zh-CN"/>
        </w:rPr>
        <w:t>25.≥40小时全息波形回顾；</w:t>
      </w:r>
    </w:p>
    <w:p w14:paraId="49718B7C">
      <w:pPr>
        <w:rPr>
          <w:rFonts w:hint="eastAsia" w:hAnsi="宋体" w:cs="宋体"/>
          <w:b w:val="0"/>
          <w:bCs/>
          <w:szCs w:val="24"/>
          <w:lang w:val="en-US" w:eastAsia="zh-CN"/>
        </w:rPr>
      </w:pPr>
      <w:r>
        <w:rPr>
          <w:rFonts w:hint="eastAsia" w:hAnsi="宋体" w:cs="宋体"/>
          <w:b w:val="0"/>
          <w:bCs/>
          <w:szCs w:val="24"/>
          <w:lang w:val="en-US" w:eastAsia="zh-CN"/>
        </w:rPr>
        <w:t>26.≥100小时趋势数据回顾；</w:t>
      </w:r>
    </w:p>
    <w:p w14:paraId="13E185D8">
      <w:pPr>
        <w:rPr>
          <w:rFonts w:hint="eastAsia" w:hAnsi="宋体" w:cs="宋体"/>
          <w:b w:val="0"/>
          <w:bCs/>
          <w:szCs w:val="24"/>
          <w:lang w:val="en-US" w:eastAsia="zh-CN"/>
        </w:rPr>
      </w:pPr>
      <w:r>
        <w:rPr>
          <w:rFonts w:hint="eastAsia" w:hAnsi="宋体" w:cs="宋体"/>
          <w:b w:val="0"/>
          <w:bCs/>
          <w:szCs w:val="24"/>
          <w:lang w:val="en-US" w:eastAsia="zh-CN"/>
        </w:rPr>
        <w:t>▲27.产品设计使用年限≥10年。</w:t>
      </w:r>
    </w:p>
    <w:p w14:paraId="35C803B2">
      <w:pPr>
        <w:numPr>
          <w:ilvl w:val="0"/>
          <w:numId w:val="3"/>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基本配置要求</w:t>
      </w:r>
    </w:p>
    <w:p w14:paraId="06C0EC46">
      <w:pPr>
        <w:numPr>
          <w:ilvl w:val="0"/>
          <w:numId w:val="4"/>
        </w:numPr>
        <w:rPr>
          <w:rFonts w:hint="eastAsia" w:hAnsi="宋体" w:cs="宋体"/>
          <w:b w:val="0"/>
          <w:bCs/>
          <w:szCs w:val="24"/>
          <w:lang w:val="en-US" w:eastAsia="zh-CN"/>
        </w:rPr>
      </w:pPr>
      <w:r>
        <w:rPr>
          <w:rFonts w:hint="eastAsia" w:hAnsi="宋体" w:cs="宋体"/>
          <w:b w:val="0"/>
          <w:bCs/>
          <w:szCs w:val="24"/>
          <w:lang w:val="en-US" w:eastAsia="zh-CN"/>
        </w:rPr>
        <w:t>转运监护仪  1台</w:t>
      </w:r>
    </w:p>
    <w:p w14:paraId="1F9AB9A6">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747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16970BF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5B0CF3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1356D15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457A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2EDD2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200A157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5906640C">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1C5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7B76570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4918329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2B3E73F7">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整机原厂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365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2B02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3A3D291">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1ACE13A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35DD54A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2BAD40D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5DC5E856">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70CD65BB">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0422B43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29FC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ABE8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46D8B1C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294A2105">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4F3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7F793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58D5B9C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2D284BD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484A712D">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553DC45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3C2B581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7E2904FB">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2F80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D049EC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5C9E833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AF05B4D">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4A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9FAA6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24551B69">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02087A63">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15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E11EBE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04716D9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4D9C3CA6">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4AB45D44">
      <w:pPr>
        <w:autoSpaceDE w:val="0"/>
        <w:autoSpaceDN w:val="0"/>
        <w:adjustRightInd w:val="0"/>
        <w:snapToGrid w:val="0"/>
        <w:spacing w:beforeLines="50" w:afterLines="50" w:line="360" w:lineRule="auto"/>
        <w:ind w:firstLine="210" w:firstLineChars="100"/>
        <w:jc w:val="left"/>
        <w:rPr>
          <w:rFonts w:hint="eastAsia"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7140F7A7">
      <w:pPr>
        <w:pStyle w:val="2"/>
        <w:keepNext w:val="0"/>
        <w:keepLines w:val="0"/>
        <w:pageBreakBefore w:val="0"/>
        <w:widowControl w:val="0"/>
        <w:kinsoku/>
        <w:wordWrap/>
        <w:overflowPunct/>
        <w:topLinePunct w:val="0"/>
        <w:bidi w:val="0"/>
        <w:snapToGrid/>
        <w:spacing w:line="240" w:lineRule="auto"/>
        <w:ind w:left="0" w:leftChars="0"/>
        <w:jc w:val="center"/>
        <w:textAlignment w:val="auto"/>
        <w:rPr>
          <w:rFonts w:hint="default" w:asciiTheme="minorHAnsi" w:hAnsiTheme="minorHAnsi" w:eastAsiaTheme="minorEastAsia" w:cstheme="minorBidi"/>
          <w:b/>
          <w:kern w:val="2"/>
          <w:sz w:val="32"/>
          <w:szCs w:val="32"/>
          <w:lang w:val="en-US" w:eastAsia="zh-CN" w:bidi="ar-SA"/>
        </w:rPr>
      </w:pPr>
      <w:r>
        <w:rPr>
          <w:rFonts w:hint="eastAsia" w:asciiTheme="minorHAnsi" w:hAnsiTheme="minorHAnsi" w:eastAsiaTheme="minorEastAsia" w:cstheme="minorBidi"/>
          <w:b/>
          <w:kern w:val="2"/>
          <w:sz w:val="32"/>
          <w:szCs w:val="32"/>
          <w:lang w:val="en-US" w:eastAsia="zh-CN" w:bidi="ar-SA"/>
        </w:rPr>
        <w:t>急诊科呼末二氧化碳监测模块1台，</w:t>
      </w:r>
      <w:r>
        <w:rPr>
          <w:rFonts w:hint="eastAsia"/>
          <w:b/>
          <w:sz w:val="32"/>
          <w:szCs w:val="32"/>
          <w:lang w:val="en-US" w:eastAsia="zh-CN"/>
        </w:rPr>
        <w:t>最高限价</w:t>
      </w:r>
      <w:r>
        <w:rPr>
          <w:rFonts w:hint="eastAsia" w:asciiTheme="minorHAnsi" w:hAnsiTheme="minorHAnsi" w:eastAsiaTheme="minorEastAsia" w:cstheme="minorBidi"/>
          <w:b/>
          <w:kern w:val="2"/>
          <w:sz w:val="32"/>
          <w:szCs w:val="32"/>
          <w:lang w:val="en-US" w:eastAsia="zh-CN" w:bidi="ar-SA"/>
        </w:rPr>
        <w:t>2万元</w:t>
      </w:r>
    </w:p>
    <w:p w14:paraId="16BDE058">
      <w:pPr>
        <w:numPr>
          <w:ilvl w:val="0"/>
          <w:numId w:val="0"/>
        </w:numPr>
        <w:jc w:val="left"/>
        <w:rPr>
          <w:rFonts w:hint="eastAsia" w:ascii="宋体" w:hAnsi="宋体" w:eastAsia="宋体" w:cs="宋体"/>
          <w:lang w:val="en-US" w:eastAsia="zh-CN"/>
        </w:rPr>
      </w:pPr>
      <w:r>
        <w:rPr>
          <w:rFonts w:hint="eastAsia" w:eastAsia="宋体"/>
          <w:sz w:val="21"/>
          <w:szCs w:val="21"/>
          <w:lang w:val="en-US" w:eastAsia="zh-CN"/>
        </w:rPr>
        <w:t>一、技术要求</w:t>
      </w:r>
    </w:p>
    <w:p w14:paraId="0EAF6467">
      <w:pPr>
        <w:pStyle w:val="2"/>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78A483A1">
      <w:pPr>
        <w:rPr>
          <w:rFonts w:hint="eastAsia" w:hAnsi="宋体" w:cs="宋体"/>
          <w:b w:val="0"/>
          <w:bCs/>
          <w:szCs w:val="24"/>
          <w:lang w:val="en-US" w:eastAsia="zh-CN"/>
        </w:rPr>
      </w:pPr>
      <w:r>
        <w:rPr>
          <w:rFonts w:hint="eastAsia"/>
        </w:rPr>
        <w:t>★</w:t>
      </w:r>
      <w:r>
        <w:rPr>
          <w:rFonts w:hint="eastAsia" w:hAnsi="宋体" w:cs="宋体"/>
          <w:b w:val="0"/>
          <w:bCs/>
          <w:szCs w:val="24"/>
          <w:lang w:val="en-US" w:eastAsia="zh-CN"/>
        </w:rPr>
        <w:t>1.支持插入迈瑞BeneVisionN12监护仪插槽作为参数模块使用，即插即用；</w:t>
      </w:r>
    </w:p>
    <w:p w14:paraId="033CBD8B">
      <w:pPr>
        <w:rPr>
          <w:rFonts w:hint="default" w:hAnsi="宋体" w:cs="宋体"/>
          <w:b w:val="0"/>
          <w:bCs/>
          <w:szCs w:val="24"/>
          <w:lang w:val="en-US" w:eastAsia="zh-CN"/>
        </w:rPr>
      </w:pPr>
      <w:r>
        <w:rPr>
          <w:rFonts w:hint="eastAsia" w:hAnsi="宋体" w:cs="宋体"/>
          <w:b w:val="0"/>
          <w:bCs/>
          <w:szCs w:val="24"/>
          <w:lang w:val="en-US" w:eastAsia="zh-CN"/>
        </w:rPr>
        <w:t>2.模块支持外置主流、旁流、微流EtCO2监测。</w:t>
      </w:r>
    </w:p>
    <w:p w14:paraId="26691CD1">
      <w:pPr>
        <w:numPr>
          <w:ilvl w:val="0"/>
          <w:numId w:val="0"/>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（二）基本配置要求</w:t>
      </w:r>
    </w:p>
    <w:p w14:paraId="30A3DFD3">
      <w:pPr>
        <w:rPr>
          <w:rFonts w:hint="eastAsia" w:hAnsi="宋体" w:cs="宋体"/>
          <w:b w:val="0"/>
          <w:bCs/>
          <w:szCs w:val="24"/>
          <w:lang w:val="en-US" w:eastAsia="zh-CN"/>
        </w:rPr>
      </w:pPr>
      <w:r>
        <w:rPr>
          <w:rFonts w:hint="eastAsia" w:hAnsi="宋体" w:cs="宋体"/>
          <w:b w:val="0"/>
          <w:bCs/>
          <w:szCs w:val="24"/>
          <w:lang w:val="en-US" w:eastAsia="zh-CN"/>
        </w:rPr>
        <w:t>1.二氧化碳监测模块  1套</w:t>
      </w:r>
    </w:p>
    <w:p w14:paraId="494C953F">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25FC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DDD808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21FCEE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2F60F0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861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88F50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1F1BF3A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39F3D0F3">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3594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4A0F0FC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67FFCA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57A5D59F">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模块原厂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7C5D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A73B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7A397947">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6006862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1A1CDAD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305BFEF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58752D95">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0387D355">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00912A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7DB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DF5DF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5A7BE8F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1BF1688F">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A47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AF282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052BD8F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039E5272">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0384D5F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2E4BD7F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298573D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129D89F9">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138D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B7A80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26E890C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4D3F22F">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CF0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C14DA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379593DB">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7865A801">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D42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C83A80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75000F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1894464F">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2D08D0E8">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0CAAF717">
      <w:pPr>
        <w:widowControl/>
        <w:ind w:firstLine="643" w:firstLineChars="200"/>
        <w:jc w:val="center"/>
        <w:rPr>
          <w:rFonts w:hint="eastAsia"/>
          <w:b/>
          <w:sz w:val="32"/>
          <w:szCs w:val="32"/>
          <w:lang w:val="en-US" w:eastAsia="zh-CN"/>
        </w:rPr>
      </w:pPr>
      <w:r>
        <w:rPr>
          <w:rFonts w:hint="eastAsia"/>
          <w:b/>
          <w:sz w:val="32"/>
          <w:szCs w:val="32"/>
          <w:lang w:val="en-US" w:eastAsia="zh-CN"/>
        </w:rPr>
        <w:t>急诊科监护仪心电记录模块1台，最高限价0.5万元</w:t>
      </w:r>
    </w:p>
    <w:p w14:paraId="0F9AAA32">
      <w:pPr>
        <w:numPr>
          <w:ilvl w:val="0"/>
          <w:numId w:val="0"/>
        </w:numPr>
        <w:jc w:val="left"/>
        <w:rPr>
          <w:rFonts w:hint="eastAsia" w:ascii="宋体" w:hAnsi="宋体" w:eastAsia="宋体" w:cs="宋体"/>
          <w:lang w:val="en-US" w:eastAsia="zh-CN"/>
        </w:rPr>
      </w:pPr>
      <w:r>
        <w:rPr>
          <w:rFonts w:hint="eastAsia" w:eastAsia="宋体"/>
          <w:sz w:val="21"/>
          <w:szCs w:val="21"/>
          <w:lang w:val="en-US" w:eastAsia="zh-CN"/>
        </w:rPr>
        <w:t>一、技术要求</w:t>
      </w:r>
    </w:p>
    <w:p w14:paraId="26889C99">
      <w:pPr>
        <w:pStyle w:val="2"/>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5B3329BC">
      <w:pPr>
        <w:rPr>
          <w:rFonts w:hint="eastAsia" w:hAnsi="宋体" w:cs="宋体"/>
          <w:b w:val="0"/>
          <w:bCs/>
          <w:szCs w:val="24"/>
          <w:lang w:val="en-US" w:eastAsia="zh-CN"/>
        </w:rPr>
      </w:pPr>
      <w:r>
        <w:rPr>
          <w:rFonts w:hint="eastAsia"/>
        </w:rPr>
        <w:t>★</w:t>
      </w:r>
      <w:r>
        <w:rPr>
          <w:rFonts w:hint="eastAsia" w:hAnsi="宋体" w:cs="宋体"/>
          <w:b w:val="0"/>
          <w:bCs/>
          <w:szCs w:val="24"/>
          <w:lang w:val="en-US" w:eastAsia="zh-CN"/>
        </w:rPr>
        <w:t>1.支持插入迈瑞BeneVisionN12监护仪插槽作为参数模块使用，即插即用；</w:t>
      </w:r>
    </w:p>
    <w:p w14:paraId="624C217A">
      <w:pPr>
        <w:rPr>
          <w:rFonts w:hint="eastAsia" w:hAnsi="宋体" w:cs="宋体"/>
          <w:b w:val="0"/>
          <w:bCs/>
          <w:szCs w:val="24"/>
          <w:lang w:val="en-US" w:eastAsia="zh-CN"/>
        </w:rPr>
      </w:pPr>
      <w:r>
        <w:rPr>
          <w:rFonts w:hint="eastAsia" w:hAnsi="宋体" w:cs="宋体"/>
          <w:b w:val="0"/>
          <w:bCs/>
          <w:szCs w:val="24"/>
          <w:lang w:val="en-US" w:eastAsia="zh-CN"/>
        </w:rPr>
        <w:t>2.记录仪功能模块支持实时打印心电图、报警事件等信息。</w:t>
      </w:r>
    </w:p>
    <w:p w14:paraId="00CB1595">
      <w:pPr>
        <w:numPr>
          <w:ilvl w:val="0"/>
          <w:numId w:val="0"/>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（二）基本配置要求</w:t>
      </w:r>
    </w:p>
    <w:p w14:paraId="7252C141">
      <w:pPr>
        <w:rPr>
          <w:rFonts w:hint="default" w:hAnsi="宋体" w:cs="宋体"/>
          <w:b w:val="0"/>
          <w:bCs/>
          <w:szCs w:val="24"/>
          <w:lang w:val="en-US" w:eastAsia="zh-CN"/>
        </w:rPr>
      </w:pPr>
      <w:r>
        <w:rPr>
          <w:rFonts w:hint="eastAsia" w:hAnsi="宋体" w:cs="宋体"/>
          <w:b w:val="0"/>
          <w:bCs/>
          <w:szCs w:val="24"/>
          <w:lang w:val="en-US" w:eastAsia="zh-CN"/>
        </w:rPr>
        <w:t>1.心电记录模块  1套</w:t>
      </w:r>
    </w:p>
    <w:p w14:paraId="5739F557">
      <w:pPr>
        <w:widowControl/>
        <w:jc w:val="left"/>
        <w:rPr>
          <w:rFonts w:hint="eastAsia"/>
          <w:lang w:val="en-US" w:eastAsia="zh-CN"/>
        </w:rPr>
      </w:pPr>
    </w:p>
    <w:p w14:paraId="72EFB1AC">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357B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307695A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C64FD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40ACA1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7425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55D24A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3446FF6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032DADF5">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267C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44C56DE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BECC99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13EDFB0A">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模块原厂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51AB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C7BE14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1022D3C">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542833B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12109B73">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50A6F74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405639E9">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502450D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9D2026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046D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3E9B6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7A9DEB3C">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0B3C36AD">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10A4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20B43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26DE0A14">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5369D7D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2D8A8B6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7E66F45F">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2A190F3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2AAF6E53">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2BDA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42BC48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7A26691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1FE532BC">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F0C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731C42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46DDBB2F">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3DC66EF7">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94C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1CE2F4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740B138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7B0EDF00">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2F7C1B20">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eastAsia="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952" w:bottom="1043" w:left="952"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3143F3F2">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0A6A534B">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20CE6886">
      <w:pPr>
        <w:spacing w:line="360" w:lineRule="auto"/>
        <w:jc w:val="left"/>
        <w:rPr>
          <w:rFonts w:hAnsi="宋体" w:cs="宋体"/>
          <w:b w:val="0"/>
          <w:bCs/>
        </w:rPr>
      </w:pPr>
      <w:r>
        <w:rPr>
          <w:rFonts w:hint="eastAsia" w:hAnsi="宋体" w:cs="宋体"/>
          <w:b w:val="0"/>
          <w:bCs/>
        </w:rPr>
        <w:t>采用综合评分法。</w:t>
      </w:r>
    </w:p>
    <w:p w14:paraId="2DDB8D02">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F4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0C6B78F1">
            <w:pPr>
              <w:keepNext w:val="0"/>
              <w:keepLines w:val="0"/>
              <w:suppressLineNumbers w:val="0"/>
              <w:spacing w:before="0" w:beforeAutospacing="0" w:after="0" w:afterAutospacing="0"/>
              <w:ind w:left="0" w:right="0"/>
              <w:rPr>
                <w:rFonts w:hint="default"/>
                <w:kern w:val="2"/>
                <w:position w:val="0"/>
                <w:szCs w:val="24"/>
                <w:u w:val="single"/>
              </w:rPr>
            </w:pPr>
            <w:r>
              <w:rPr>
                <w:rFonts w:hint="eastAsia"/>
                <w:kern w:val="2"/>
                <w:position w:val="0"/>
                <w:szCs w:val="24"/>
                <w:u w:val="single"/>
              </w:rPr>
              <w:t>综合评估法：具体采用打分法</w:t>
            </w:r>
          </w:p>
          <w:p w14:paraId="3A5A85F5">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说明：只有初步评审合格的投标人，才能进入详细评审。初步评审办法详见招标文件。</w:t>
            </w:r>
          </w:p>
          <w:p w14:paraId="3F0CA4A7">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6ABF7957">
            <w:pPr>
              <w:keepNext w:val="0"/>
              <w:keepLines w:val="0"/>
              <w:suppressLineNumbers w:val="0"/>
              <w:spacing w:before="0" w:beforeAutospacing="0" w:after="0" w:afterAutospacing="0"/>
              <w:ind w:left="0" w:right="0"/>
              <w:rPr>
                <w:rFonts w:hint="default"/>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3B483A69">
            <w:pPr>
              <w:keepNext w:val="0"/>
              <w:keepLines w:val="0"/>
              <w:suppressLineNumbers w:val="0"/>
              <w:spacing w:before="0" w:beforeAutospacing="0" w:after="0" w:afterAutospacing="0"/>
              <w:ind w:left="0" w:right="0"/>
              <w:rPr>
                <w:rFonts w:hint="default"/>
                <w:b w:val="0"/>
                <w:kern w:val="2"/>
                <w:position w:val="0"/>
                <w:szCs w:val="24"/>
              </w:rPr>
            </w:pPr>
            <w:r>
              <w:rPr>
                <w:rFonts w:hint="eastAsia"/>
                <w:b w:val="0"/>
                <w:bCs/>
                <w:kern w:val="2"/>
                <w:position w:val="0"/>
                <w:szCs w:val="24"/>
              </w:rPr>
              <w:t>（</w:t>
            </w:r>
            <w:r>
              <w:rPr>
                <w:rFonts w:hint="default"/>
                <w:b w:val="0"/>
                <w:kern w:val="2"/>
                <w:position w:val="0"/>
                <w:szCs w:val="24"/>
              </w:rPr>
              <w:t>价格分采用低价优先法计算，即满足招标文件要求且投标价格最低的投标报价为评标基准价，其他供应商的价格分按照下列公式计算：</w:t>
            </w:r>
          </w:p>
          <w:p w14:paraId="37FDA68C">
            <w:pPr>
              <w:keepNext w:val="0"/>
              <w:keepLines w:val="0"/>
              <w:suppressLineNumbers w:val="0"/>
              <w:spacing w:before="0" w:beforeAutospacing="0" w:after="0" w:afterAutospacing="0"/>
              <w:ind w:left="0" w:right="0"/>
              <w:rPr>
                <w:rFonts w:hint="default"/>
                <w:b w:val="0"/>
                <w:bCs/>
                <w:kern w:val="2"/>
                <w:position w:val="0"/>
                <w:szCs w:val="24"/>
              </w:rPr>
            </w:pPr>
            <w:r>
              <w:rPr>
                <w:rFonts w:hint="default"/>
                <w:b w:val="0"/>
                <w:kern w:val="2"/>
                <w:position w:val="0"/>
                <w:szCs w:val="24"/>
              </w:rPr>
              <w:t>价格分=（评标基准价/投标报价）×</w:t>
            </w:r>
            <w:r>
              <w:rPr>
                <w:rFonts w:hint="eastAsia"/>
                <w:b w:val="0"/>
                <w:kern w:val="2"/>
                <w:position w:val="0"/>
                <w:szCs w:val="24"/>
                <w:lang w:val="en-US" w:eastAsia="zh-CN"/>
              </w:rPr>
              <w:t>3</w:t>
            </w:r>
            <w:r>
              <w:rPr>
                <w:rFonts w:hint="default"/>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3DB0438D">
            <w:pPr>
              <w:keepNext w:val="0"/>
              <w:keepLines w:val="0"/>
              <w:suppressLineNumbers w:val="0"/>
              <w:spacing w:before="0" w:beforeAutospacing="0" w:after="0" w:afterAutospacing="0"/>
              <w:ind w:left="0" w:right="0"/>
              <w:rPr>
                <w:rFonts w:hint="default"/>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237A35D4">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评委根据招标文件中《技术规格及商务要求》，结合投标文件提供的佐证材料等进行评审：</w:t>
            </w:r>
          </w:p>
          <w:p w14:paraId="38893C43">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rFonts w:hint="default"/>
                <w:b w:val="0"/>
                <w:kern w:val="2"/>
                <w:position w:val="0"/>
                <w:szCs w:val="24"/>
              </w:rPr>
              <w:t>5</w:t>
            </w:r>
            <w:r>
              <w:rPr>
                <w:rFonts w:hint="eastAsia"/>
                <w:b w:val="0"/>
                <w:kern w:val="2"/>
                <w:position w:val="0"/>
                <w:szCs w:val="24"/>
              </w:rPr>
              <w:t>分，正偏离不加分，有一项★号指标负偏离做废标处理；</w:t>
            </w:r>
          </w:p>
          <w:p w14:paraId="04D64B08">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2、有一项▲号指标负偏离扣</w:t>
            </w:r>
            <w:r>
              <w:rPr>
                <w:rFonts w:hint="default"/>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1FB03E62">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3、非★、▲号指标每负偏离一项扣</w:t>
            </w:r>
            <w:r>
              <w:rPr>
                <w:rFonts w:hint="default"/>
                <w:b w:val="0"/>
                <w:kern w:val="2"/>
                <w:position w:val="0"/>
                <w:szCs w:val="24"/>
              </w:rPr>
              <w:t>1</w:t>
            </w:r>
            <w:r>
              <w:rPr>
                <w:rFonts w:hint="eastAsia"/>
                <w:b w:val="0"/>
                <w:kern w:val="2"/>
                <w:position w:val="0"/>
                <w:szCs w:val="24"/>
              </w:rPr>
              <w:t>分，扣完为止。</w:t>
            </w:r>
          </w:p>
          <w:p w14:paraId="0BFC8D03">
            <w:pPr>
              <w:keepNext w:val="0"/>
              <w:keepLines w:val="0"/>
              <w:suppressLineNumbers w:val="0"/>
              <w:spacing w:before="0" w:beforeAutospacing="0" w:after="0" w:afterAutospacing="0"/>
              <w:ind w:left="0" w:right="0"/>
              <w:rPr>
                <w:rFonts w:hint="default"/>
                <w:szCs w:val="24"/>
              </w:rPr>
            </w:pPr>
            <w:r>
              <w:rPr>
                <w:rFonts w:hint="eastAsia"/>
                <w:szCs w:val="24"/>
              </w:rPr>
              <w:t>3、技术培训方案(5分)</w:t>
            </w:r>
          </w:p>
          <w:p w14:paraId="755C4C61">
            <w:pPr>
              <w:keepNext w:val="0"/>
              <w:keepLines w:val="0"/>
              <w:suppressLineNumbers w:val="0"/>
              <w:spacing w:before="0" w:beforeAutospacing="0" w:after="0" w:afterAutospacing="0"/>
              <w:ind w:left="0" w:right="0"/>
              <w:rPr>
                <w:rFonts w:hint="default"/>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3239CA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462F7390">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2、技术培训保障方案内容详实、考虑较全，培训计划具体，培训人员齐全，培训率承诺较高，得3分。</w:t>
            </w:r>
          </w:p>
          <w:p w14:paraId="2CB8BA02">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3．技术培训保障方案表述简单，培训计划简单、培训人员较少，培训率承诺一般，得</w:t>
            </w:r>
            <w:r>
              <w:rPr>
                <w:rFonts w:hint="default"/>
                <w:szCs w:val="24"/>
              </w:rPr>
              <w:t>1</w:t>
            </w:r>
            <w:r>
              <w:rPr>
                <w:rFonts w:hint="eastAsia"/>
                <w:szCs w:val="24"/>
              </w:rPr>
              <w:t>分。</w:t>
            </w:r>
          </w:p>
          <w:p w14:paraId="552D45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4．未提供方案或方案无可行性不得分。</w:t>
            </w:r>
          </w:p>
          <w:p w14:paraId="37BC1D24">
            <w:pPr>
              <w:keepNext w:val="0"/>
              <w:keepLines w:val="0"/>
              <w:suppressLineNumbers w:val="0"/>
              <w:spacing w:before="0" w:beforeAutospacing="0" w:after="0" w:afterAutospacing="0"/>
              <w:ind w:left="0" w:right="0"/>
              <w:rPr>
                <w:rFonts w:hint="default"/>
                <w:szCs w:val="24"/>
              </w:rPr>
            </w:pPr>
            <w:r>
              <w:rPr>
                <w:rFonts w:hint="eastAsia"/>
                <w:szCs w:val="24"/>
              </w:rPr>
              <w:t>4、业绩：</w:t>
            </w:r>
            <w:r>
              <w:rPr>
                <w:rFonts w:hint="default"/>
                <w:szCs w:val="24"/>
              </w:rPr>
              <w:t>10</w:t>
            </w:r>
            <w:r>
              <w:rPr>
                <w:rFonts w:hint="eastAsia"/>
                <w:szCs w:val="24"/>
              </w:rPr>
              <w:t>分</w:t>
            </w:r>
          </w:p>
          <w:p w14:paraId="46B1FF3F">
            <w:pPr>
              <w:keepNext w:val="0"/>
              <w:keepLines w:val="0"/>
              <w:suppressLineNumbers w:val="0"/>
              <w:spacing w:before="0" w:beforeAutospacing="0" w:after="0" w:afterAutospacing="0"/>
              <w:ind w:left="0" w:right="0"/>
              <w:rPr>
                <w:rFonts w:hint="default"/>
                <w:szCs w:val="24"/>
              </w:rPr>
            </w:pPr>
            <w:r>
              <w:rPr>
                <w:rFonts w:hint="eastAsia"/>
                <w:szCs w:val="24"/>
              </w:rPr>
              <w:t>提供投标产品的制造商或其代理商20</w:t>
            </w:r>
            <w:r>
              <w:rPr>
                <w:rFonts w:hint="default"/>
                <w:szCs w:val="24"/>
              </w:rPr>
              <w:t>2</w:t>
            </w:r>
            <w:r>
              <w:rPr>
                <w:rFonts w:hint="eastAsia"/>
                <w:szCs w:val="24"/>
              </w:rPr>
              <w:t>2年至今同品牌同型号的业绩证明文件（销售合同复印件），每提供1份合同得</w:t>
            </w:r>
            <w:r>
              <w:rPr>
                <w:rFonts w:hint="default"/>
                <w:szCs w:val="24"/>
              </w:rPr>
              <w:t>2.5</w:t>
            </w:r>
            <w:r>
              <w:rPr>
                <w:rFonts w:hint="eastAsia"/>
                <w:szCs w:val="24"/>
              </w:rPr>
              <w:t>分，最多得</w:t>
            </w:r>
            <w:r>
              <w:rPr>
                <w:rFonts w:hint="default"/>
                <w:szCs w:val="24"/>
              </w:rPr>
              <w:t>10</w:t>
            </w:r>
            <w:r>
              <w:rPr>
                <w:rFonts w:hint="eastAsia"/>
                <w:szCs w:val="24"/>
              </w:rPr>
              <w:t>分。未提供合同或合同型号不一致、关键页不清晰者，该项不得分。</w:t>
            </w:r>
          </w:p>
          <w:p w14:paraId="1D0F1308">
            <w:pPr>
              <w:keepNext w:val="0"/>
              <w:keepLines w:val="0"/>
              <w:suppressLineNumbers w:val="0"/>
              <w:spacing w:before="0" w:beforeAutospacing="0" w:after="0" w:afterAutospacing="0"/>
              <w:ind w:left="0" w:right="0"/>
              <w:rPr>
                <w:rFonts w:hint="default"/>
                <w:szCs w:val="24"/>
              </w:rPr>
            </w:pPr>
            <w:r>
              <w:rPr>
                <w:rFonts w:hint="eastAsia"/>
                <w:szCs w:val="24"/>
              </w:rPr>
              <w:t>5、售后服务：9分</w:t>
            </w:r>
          </w:p>
          <w:p w14:paraId="092361D6">
            <w:pPr>
              <w:keepNext w:val="0"/>
              <w:keepLines w:val="0"/>
              <w:suppressLineNumbers w:val="0"/>
              <w:spacing w:before="0" w:beforeAutospacing="0" w:after="0" w:afterAutospacing="0"/>
              <w:ind w:left="0" w:right="0"/>
              <w:rPr>
                <w:rFonts w:hint="default"/>
                <w:szCs w:val="24"/>
              </w:rPr>
            </w:pPr>
            <w:r>
              <w:rPr>
                <w:rFonts w:hint="eastAsia"/>
                <w:bCs/>
                <w:szCs w:val="24"/>
              </w:rPr>
              <w:t>5.1、售后服务实施响应 (7分)</w:t>
            </w:r>
            <w:r>
              <w:rPr>
                <w:rFonts w:hint="eastAsia"/>
                <w:szCs w:val="24"/>
              </w:rPr>
              <w:t>：</w:t>
            </w:r>
          </w:p>
          <w:p w14:paraId="4FC87FBD">
            <w:pPr>
              <w:keepNext w:val="0"/>
              <w:keepLines w:val="0"/>
              <w:suppressLineNumbers w:val="0"/>
              <w:spacing w:before="0" w:beforeAutospacing="0" w:after="0" w:afterAutospacing="0"/>
              <w:ind w:left="0" w:right="0"/>
              <w:rPr>
                <w:rFonts w:hint="default"/>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DF16622">
            <w:pPr>
              <w:keepNext w:val="0"/>
              <w:keepLines w:val="0"/>
              <w:suppressLineNumbers w:val="0"/>
              <w:spacing w:before="0" w:beforeAutospacing="0" w:after="0" w:afterAutospacing="0"/>
              <w:ind w:left="0" w:right="0"/>
              <w:rPr>
                <w:rFonts w:hint="default"/>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577AE229">
            <w:pPr>
              <w:keepNext w:val="0"/>
              <w:keepLines w:val="0"/>
              <w:suppressLineNumbers w:val="0"/>
              <w:spacing w:before="0" w:beforeAutospacing="0" w:after="0" w:afterAutospacing="0"/>
              <w:ind w:left="0" w:right="0"/>
              <w:rPr>
                <w:rFonts w:hint="default"/>
                <w:szCs w:val="24"/>
              </w:rPr>
            </w:pPr>
            <w:r>
              <w:rPr>
                <w:rFonts w:hint="eastAsia"/>
                <w:szCs w:val="24"/>
              </w:rPr>
              <w:t>2）售后方案内容详实、考虑较全，对产品质量管控措施要求到位，相关服务承诺内容具体，人员配备齐全、设备配备齐全者得4分；</w:t>
            </w:r>
          </w:p>
          <w:p w14:paraId="22DA1454">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3）</w:t>
            </w:r>
            <w:r>
              <w:rPr>
                <w:rFonts w:hint="eastAsia" w:ascii="宋体" w:hAnsi="宋体" w:eastAsia="宋体" w:cs="宋体"/>
                <w:color w:val="auto"/>
                <w:szCs w:val="21"/>
              </w:rPr>
              <w:t>售后方案表述简单，人员配备有所欠缺、设备配备一般者得</w:t>
            </w:r>
            <w:r>
              <w:rPr>
                <w:rFonts w:hint="default" w:ascii="宋体" w:hAnsi="宋体" w:eastAsia="宋体" w:cs="宋体"/>
                <w:color w:val="auto"/>
                <w:szCs w:val="21"/>
              </w:rPr>
              <w:t>1</w:t>
            </w:r>
            <w:r>
              <w:rPr>
                <w:rFonts w:hint="eastAsia" w:ascii="宋体" w:hAnsi="宋体" w:eastAsia="宋体" w:cs="宋体"/>
                <w:color w:val="auto"/>
                <w:szCs w:val="21"/>
              </w:rPr>
              <w:t>分；</w:t>
            </w:r>
          </w:p>
          <w:p w14:paraId="5EC4C7B6">
            <w:pPr>
              <w:keepNext w:val="0"/>
              <w:keepLines w:val="0"/>
              <w:suppressLineNumbers w:val="0"/>
              <w:spacing w:before="0" w:beforeAutospacing="0" w:after="0" w:afterAutospacing="0"/>
              <w:ind w:left="0" w:right="0"/>
              <w:rPr>
                <w:rFonts w:hint="default"/>
                <w:szCs w:val="24"/>
              </w:rPr>
            </w:pPr>
            <w:r>
              <w:rPr>
                <w:rFonts w:hint="eastAsia"/>
                <w:szCs w:val="24"/>
              </w:rPr>
              <w:t>4）未提供服务方案的不得分。</w:t>
            </w:r>
          </w:p>
          <w:p w14:paraId="4791C688">
            <w:pPr>
              <w:keepNext w:val="0"/>
              <w:keepLines w:val="0"/>
              <w:suppressLineNumbers w:val="0"/>
              <w:spacing w:before="0" w:beforeAutospacing="0" w:after="0" w:afterAutospacing="0"/>
              <w:ind w:left="0" w:right="0"/>
              <w:rPr>
                <w:rFonts w:hint="default"/>
                <w:bCs/>
                <w:szCs w:val="24"/>
              </w:rPr>
            </w:pPr>
            <w:r>
              <w:rPr>
                <w:rFonts w:hint="eastAsia"/>
                <w:bCs/>
                <w:szCs w:val="24"/>
              </w:rPr>
              <w:t>5.2、质保期（2分）：</w:t>
            </w:r>
          </w:p>
          <w:p w14:paraId="53BBDE1B">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szCs w:val="24"/>
              </w:rPr>
              <w:t>每增加一年加1分，最多得2分。</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5"/>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6"/>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keepNext w:val="0"/>
              <w:keepLines w:val="0"/>
              <w:widowControl/>
              <w:numPr>
                <w:ilvl w:val="0"/>
                <w:numId w:val="7"/>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435A8D9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highlight w:val="none"/>
              </w:rPr>
            </w:pPr>
            <w:r>
              <w:rPr>
                <w:rFonts w:hint="eastAsia" w:ascii="宋体" w:hAnsi="宋体" w:cs="宋体"/>
                <w:szCs w:val="21"/>
                <w:highlight w:val="none"/>
              </w:rPr>
              <w:t>医疗器械注册证、供应商需提供医疗器械经营许可证，若投标供应商为生产商，须提供《医疗器械生产许可证》。</w:t>
            </w:r>
          </w:p>
          <w:p w14:paraId="03F74EA6">
            <w:pPr>
              <w:pStyle w:val="5"/>
              <w:keepNext w:val="0"/>
              <w:keepLines w:val="0"/>
              <w:suppressLineNumbers w:val="0"/>
              <w:spacing w:before="0" w:beforeAutospacing="0" w:after="0" w:afterAutospacing="0"/>
              <w:ind w:left="0" w:right="0"/>
              <w:rPr>
                <w:rFonts w:hint="default"/>
                <w:szCs w:val="20"/>
              </w:rPr>
            </w:pP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2" w:firstLineChars="200"/>
        <w:rPr>
          <w:rFonts w:hint="eastAsia" w:ascii="宋体" w:hAnsi="宋体" w:cs="宋体"/>
          <w:b/>
          <w:bCs/>
          <w:szCs w:val="21"/>
          <w:u w:val="single"/>
        </w:rPr>
      </w:pPr>
      <w:r>
        <w:rPr>
          <w:rFonts w:hint="eastAsia" w:ascii="宋体" w:hAnsi="宋体" w:cs="宋体"/>
          <w:b/>
          <w:bCs/>
          <w:szCs w:val="21"/>
        </w:rPr>
        <w:t>供应商授权代表姓名（签字）：</w:t>
      </w:r>
      <w:r>
        <w:rPr>
          <w:rFonts w:hint="eastAsia" w:ascii="宋体" w:hAnsi="宋体" w:cs="宋体"/>
          <w:b/>
          <w:bCs/>
          <w:szCs w:val="21"/>
          <w:u w:val="single"/>
        </w:rPr>
        <w:t xml:space="preserve">         </w:t>
      </w:r>
    </w:p>
    <w:p w14:paraId="03114ACD">
      <w:pPr>
        <w:spacing w:line="340" w:lineRule="exact"/>
        <w:ind w:firstLine="422" w:firstLineChars="200"/>
        <w:rPr>
          <w:rFonts w:hint="eastAsia" w:ascii="宋体" w:hAnsi="宋体" w:cs="宋体"/>
          <w:szCs w:val="21"/>
        </w:rPr>
      </w:pPr>
      <w:r>
        <w:rPr>
          <w:rFonts w:hint="eastAsia" w:ascii="宋体" w:hAnsi="宋体" w:cs="宋体"/>
          <w:b/>
          <w:bCs/>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b/>
          <w:bCs/>
          <w:szCs w:val="21"/>
          <w:highlight w:val="none"/>
          <w:lang w:val="zh-CN"/>
        </w:rPr>
      </w:pPr>
      <w:r>
        <w:rPr>
          <w:rFonts w:hint="eastAsia" w:ascii="宋体" w:hAnsi="宋体" w:cs="宋体"/>
          <w:szCs w:val="21"/>
          <w:lang w:val="zh-CN"/>
        </w:rPr>
        <w:t xml:space="preserve">    </w:t>
      </w:r>
      <w:r>
        <w:rPr>
          <w:rFonts w:hint="eastAsia" w:ascii="宋体" w:hAnsi="宋体" w:cs="宋体"/>
          <w:b/>
          <w:bCs/>
          <w:szCs w:val="21"/>
          <w:lang w:val="zh-CN"/>
        </w:rPr>
        <w:t>法定代</w:t>
      </w:r>
      <w:r>
        <w:rPr>
          <w:rFonts w:hint="eastAsia" w:ascii="宋体" w:hAnsi="宋体" w:cs="宋体"/>
          <w:b/>
          <w:bCs/>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b/>
          <w:bCs/>
          <w:szCs w:val="21"/>
          <w:highlight w:val="none"/>
          <w:lang w:val="zh-CN"/>
        </w:rPr>
        <w:t xml:space="preserve">    被授权人签字：</w:t>
      </w:r>
      <w:r>
        <w:rPr>
          <w:rFonts w:hint="eastAsia" w:ascii="宋体" w:hAnsi="宋体" w:cs="宋体"/>
          <w:szCs w:val="21"/>
          <w:highlight w:val="none"/>
          <w:lang w:val="zh-CN"/>
        </w:rPr>
        <w:t xml:space="preserve">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2"/>
        <w:rPr>
          <w:lang w:val="zh-CN"/>
        </w:rPr>
      </w:pPr>
    </w:p>
    <w:p w14:paraId="1476603B">
      <w:pPr>
        <w:spacing w:line="340" w:lineRule="exact"/>
        <w:rPr>
          <w:rFonts w:hint="eastAsia" w:ascii="宋体" w:hAnsi="宋体" w:cs="宋体"/>
          <w:b/>
          <w:color w:val="000000"/>
          <w:kern w:val="0"/>
          <w:szCs w:val="21"/>
        </w:rPr>
      </w:pPr>
      <w:bookmarkStart w:id="3" w:name="_Toc499284719"/>
      <w:bookmarkStart w:id="4"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2"/>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4B118D5B">
      <w:pPr>
        <w:widowControl/>
        <w:shd w:val="clear" w:color="auto" w:fill="FFFFFF"/>
        <w:spacing w:line="340" w:lineRule="exact"/>
        <w:jc w:val="left"/>
        <w:rPr>
          <w:rFonts w:hint="eastAsia" w:ascii="宋体" w:hAnsi="宋体" w:eastAsia="宋体" w:cs="宋体"/>
          <w:color w:val="000000"/>
          <w:kern w:val="0"/>
          <w:sz w:val="21"/>
          <w:szCs w:val="21"/>
          <w:lang w:val="zh-CN"/>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096E1C0E">
      <w:pPr>
        <w:pStyle w:val="2"/>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8A484EE"/>
    <w:multiLevelType w:val="singleLevel"/>
    <w:tmpl w:val="D8A484EE"/>
    <w:lvl w:ilvl="0" w:tentative="0">
      <w:start w:val="2"/>
      <w:numFmt w:val="chineseCounting"/>
      <w:suff w:val="nothing"/>
      <w:lvlText w:val="（%1）"/>
      <w:lvlJc w:val="left"/>
      <w:rPr>
        <w:rFonts w:hint="eastAsia"/>
      </w:rPr>
    </w:lvl>
  </w:abstractNum>
  <w:abstractNum w:abstractNumId="2">
    <w:nsid w:val="D9E042B6"/>
    <w:multiLevelType w:val="singleLevel"/>
    <w:tmpl w:val="D9E042B6"/>
    <w:lvl w:ilvl="0" w:tentative="0">
      <w:start w:val="6"/>
      <w:numFmt w:val="decimal"/>
      <w:suff w:val="nothing"/>
      <w:lvlText w:val="（%1）"/>
      <w:lvlJc w:val="left"/>
    </w:lvl>
  </w:abstractNum>
  <w:abstractNum w:abstractNumId="3">
    <w:nsid w:val="F240003A"/>
    <w:multiLevelType w:val="singleLevel"/>
    <w:tmpl w:val="F240003A"/>
    <w:lvl w:ilvl="0" w:tentative="0">
      <w:start w:val="1"/>
      <w:numFmt w:val="decimal"/>
      <w:lvlText w:val="%1."/>
      <w:lvlJc w:val="left"/>
      <w:pPr>
        <w:tabs>
          <w:tab w:val="left" w:pos="312"/>
        </w:tabs>
      </w:pPr>
    </w:lvl>
  </w:abstractNum>
  <w:abstractNum w:abstractNumId="4">
    <w:nsid w:val="285D514B"/>
    <w:multiLevelType w:val="singleLevel"/>
    <w:tmpl w:val="285D514B"/>
    <w:lvl w:ilvl="0" w:tentative="0">
      <w:start w:val="1"/>
      <w:numFmt w:val="chineseCounting"/>
      <w:suff w:val="nothing"/>
      <w:lvlText w:val="%1、"/>
      <w:lvlJc w:val="left"/>
      <w:rPr>
        <w:rFonts w:hint="eastAsia"/>
      </w:rPr>
    </w:lvl>
  </w:abstractNum>
  <w:abstractNum w:abstractNumId="5">
    <w:nsid w:val="58F9285E"/>
    <w:multiLevelType w:val="singleLevel"/>
    <w:tmpl w:val="58F9285E"/>
    <w:lvl w:ilvl="0" w:tentative="0">
      <w:start w:val="1"/>
      <w:numFmt w:val="decimal"/>
      <w:suff w:val="nothing"/>
      <w:lvlText w:val="%1、"/>
      <w:lvlJc w:val="left"/>
    </w:lvl>
  </w:abstractNum>
  <w:abstractNum w:abstractNumId="6">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0BCA3494"/>
    <w:rsid w:val="16177CA7"/>
    <w:rsid w:val="187478A4"/>
    <w:rsid w:val="2E497111"/>
    <w:rsid w:val="408349B9"/>
    <w:rsid w:val="4C8A7AFA"/>
    <w:rsid w:val="4E1D2FC9"/>
    <w:rsid w:val="52006417"/>
    <w:rsid w:val="55300AEE"/>
    <w:rsid w:val="5A8325A6"/>
    <w:rsid w:val="5B953DC6"/>
    <w:rsid w:val="63244136"/>
    <w:rsid w:val="66485281"/>
    <w:rsid w:val="68627DA9"/>
    <w:rsid w:val="68AF5CC9"/>
    <w:rsid w:val="70503E6E"/>
    <w:rsid w:val="73626D5B"/>
    <w:rsid w:val="78581143"/>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2"/>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2"/>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20303</Words>
  <Characters>21074</Characters>
  <Lines>0</Lines>
  <Paragraphs>0</Paragraphs>
  <TotalTime>83</TotalTime>
  <ScaleCrop>false</ScaleCrop>
  <LinksUpToDate>false</LinksUpToDate>
  <CharactersWithSpaces>22574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cp:lastPrinted>2025-05-06T02:34:00Z</cp:lastPrinted>
  <dcterms:modified xsi:type="dcterms:W3CDTF">2025-05-29T06:58:29Z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074420F8FDA9483B91A131A9346E1724_13</vt:lpwstr>
  </property>
  <property fmtid="{D5CDD505-2E9C-101B-9397-08002B2CF9AE}" pid="4" name="KSOTemplateDocerSaveRecord">
    <vt:lpwstr>eyJoZGlkIjoiOGZmMGEyMTExYzIwYTdiNzM0MTg5ODVmNWVkOTY4ZjIiLCJ1c2VySWQiOiIyNDExNTM3NjIifQ==</vt:lpwstr>
  </property>
</Properties>
</file>