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24FD">
      <w:pPr>
        <w:keepNext w:val="0"/>
        <w:keepLines w:val="0"/>
        <w:pageBreakBefore w:val="0"/>
        <w:widowControl w:val="0"/>
        <w:kinsoku/>
        <w:wordWrap/>
        <w:overflowPunct/>
        <w:topLinePunct w:val="0"/>
        <w:autoSpaceDE/>
        <w:autoSpaceDN/>
        <w:bidi w:val="0"/>
        <w:adjustRightInd/>
        <w:snapToGrid/>
        <w:spacing w:line="360" w:lineRule="exact"/>
        <w:ind w:firstLine="3300" w:firstLineChars="1100"/>
        <w:textAlignment w:val="auto"/>
        <w:rPr>
          <w:rFonts w:hint="eastAsia" w:asciiTheme="minorEastAsia" w:hAnsiTheme="minorEastAsia" w:eastAsiaTheme="minorEastAsia" w:cstheme="minorEastAsia"/>
          <w:b w:val="0"/>
          <w:bCs w:val="0"/>
          <w:color w:val="000000"/>
          <w:kern w:val="0"/>
          <w:sz w:val="30"/>
          <w:szCs w:val="30"/>
          <w:highlight w:val="none"/>
          <w:u w:val="none"/>
        </w:rPr>
      </w:pPr>
      <w:bookmarkStart w:id="0" w:name="_Toc28359089"/>
      <w:bookmarkStart w:id="1" w:name="_Toc28359012"/>
      <w:bookmarkStart w:id="2" w:name="_Toc35393629"/>
      <w:bookmarkStart w:id="3" w:name="_Toc35393798"/>
      <w:bookmarkStart w:id="4" w:name="_Toc39926506"/>
      <w:r>
        <w:rPr>
          <w:rFonts w:hint="eastAsia" w:asciiTheme="minorEastAsia" w:hAnsiTheme="minorEastAsia" w:eastAsiaTheme="minorEastAsia" w:cstheme="minorEastAsia"/>
          <w:b w:val="0"/>
          <w:bCs w:val="0"/>
          <w:color w:val="000000"/>
          <w:kern w:val="0"/>
          <w:sz w:val="30"/>
          <w:szCs w:val="30"/>
          <w:highlight w:val="none"/>
          <w:u w:val="none"/>
        </w:rPr>
        <w:t>溧水区人民医院</w:t>
      </w:r>
      <w:r>
        <w:rPr>
          <w:rFonts w:hint="eastAsia" w:asciiTheme="minorEastAsia" w:hAnsiTheme="minorEastAsia" w:eastAsiaTheme="minorEastAsia" w:cstheme="minorEastAsia"/>
          <w:b w:val="0"/>
          <w:bCs w:val="0"/>
          <w:color w:val="000000"/>
          <w:kern w:val="0"/>
          <w:sz w:val="30"/>
          <w:szCs w:val="30"/>
          <w:highlight w:val="none"/>
          <w:u w:val="none"/>
          <w:lang w:eastAsia="zh-CN"/>
        </w:rPr>
        <w:t>竞价</w:t>
      </w:r>
      <w:r>
        <w:rPr>
          <w:rFonts w:hint="eastAsia" w:asciiTheme="minorEastAsia" w:hAnsiTheme="minorEastAsia" w:eastAsiaTheme="minorEastAsia" w:cstheme="minorEastAsia"/>
          <w:b w:val="0"/>
          <w:bCs w:val="0"/>
          <w:color w:val="000000"/>
          <w:kern w:val="0"/>
          <w:sz w:val="30"/>
          <w:szCs w:val="30"/>
          <w:highlight w:val="none"/>
          <w:u w:val="none"/>
        </w:rPr>
        <w:t>函</w:t>
      </w:r>
    </w:p>
    <w:p w14:paraId="0DF33A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南京市溧水区人民医院物资采购与管理中心就</w:t>
      </w:r>
      <w:r>
        <w:rPr>
          <w:rFonts w:hint="eastAsia" w:asciiTheme="minorEastAsia" w:hAnsiTheme="minorEastAsia" w:eastAsiaTheme="minorEastAsia" w:cstheme="minorEastAsia"/>
          <w:b w:val="0"/>
          <w:bCs w:val="0"/>
          <w:color w:val="000000"/>
          <w:kern w:val="0"/>
          <w:sz w:val="24"/>
          <w:szCs w:val="24"/>
          <w:highlight w:val="none"/>
          <w:u w:val="none"/>
          <w:lang w:val="en-US" w:eastAsia="zh-CN"/>
        </w:rPr>
        <w:t>售卖柜投放</w:t>
      </w:r>
      <w:r>
        <w:rPr>
          <w:rFonts w:hint="eastAsia" w:asciiTheme="minorEastAsia" w:hAnsiTheme="minorEastAsia" w:eastAsiaTheme="minorEastAsia" w:cstheme="minorEastAsia"/>
          <w:b w:val="0"/>
          <w:bCs w:val="0"/>
          <w:color w:val="000000"/>
          <w:kern w:val="0"/>
          <w:sz w:val="24"/>
          <w:szCs w:val="24"/>
          <w:highlight w:val="none"/>
          <w:u w:val="none"/>
        </w:rPr>
        <w:t>项目通过</w:t>
      </w:r>
      <w:r>
        <w:rPr>
          <w:rFonts w:hint="eastAsia" w:asciiTheme="minorEastAsia" w:hAnsiTheme="minorEastAsia" w:eastAsiaTheme="minorEastAsia" w:cstheme="minorEastAsia"/>
          <w:b w:val="0"/>
          <w:bCs w:val="0"/>
          <w:color w:val="000000"/>
          <w:kern w:val="0"/>
          <w:sz w:val="24"/>
          <w:szCs w:val="24"/>
          <w:highlight w:val="none"/>
          <w:u w:val="none"/>
          <w:lang w:eastAsia="zh-CN"/>
        </w:rPr>
        <w:t>最高竞标价法</w:t>
      </w:r>
      <w:r>
        <w:rPr>
          <w:rFonts w:hint="eastAsia" w:asciiTheme="minorEastAsia" w:hAnsiTheme="minorEastAsia" w:eastAsiaTheme="minorEastAsia" w:cstheme="minorEastAsia"/>
          <w:b w:val="0"/>
          <w:bCs w:val="0"/>
          <w:color w:val="000000"/>
          <w:kern w:val="0"/>
          <w:sz w:val="24"/>
          <w:szCs w:val="24"/>
          <w:highlight w:val="none"/>
          <w:u w:val="none"/>
        </w:rPr>
        <w:t>进行</w:t>
      </w:r>
      <w:r>
        <w:rPr>
          <w:rFonts w:hint="eastAsia" w:asciiTheme="minorEastAsia" w:hAnsiTheme="minorEastAsia" w:eastAsiaTheme="minorEastAsia" w:cstheme="minorEastAsia"/>
          <w:b w:val="0"/>
          <w:bCs w:val="0"/>
          <w:color w:val="000000"/>
          <w:kern w:val="0"/>
          <w:sz w:val="24"/>
          <w:szCs w:val="24"/>
          <w:highlight w:val="none"/>
          <w:u w:val="none"/>
          <w:lang w:val="en-US" w:eastAsia="zh-CN"/>
        </w:rPr>
        <w:t>竞价</w:t>
      </w:r>
      <w:r>
        <w:rPr>
          <w:rFonts w:hint="eastAsia" w:asciiTheme="minorEastAsia" w:hAnsiTheme="minorEastAsia" w:eastAsiaTheme="minorEastAsia" w:cstheme="minorEastAsia"/>
          <w:b w:val="0"/>
          <w:bCs w:val="0"/>
          <w:color w:val="000000"/>
          <w:kern w:val="0"/>
          <w:sz w:val="24"/>
          <w:szCs w:val="24"/>
          <w:highlight w:val="none"/>
          <w:u w:val="none"/>
        </w:rPr>
        <w:t>事宜，相关事宜如下：</w:t>
      </w:r>
    </w:p>
    <w:p w14:paraId="3280FC9B">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0"/>
      <w:bookmarkEnd w:id="1"/>
      <w:bookmarkEnd w:id="2"/>
      <w:bookmarkEnd w:id="3"/>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-Z0</w:t>
      </w:r>
      <w:r>
        <w:rPr>
          <w:rFonts w:hint="eastAsia" w:asciiTheme="minorEastAsia" w:hAnsiTheme="minorEastAsia" w:eastAsiaTheme="minorEastAsia" w:cstheme="minorEastAsia"/>
          <w:b w:val="0"/>
          <w:bCs w:val="0"/>
          <w:color w:val="000000"/>
          <w:kern w:val="0"/>
          <w:sz w:val="24"/>
          <w:szCs w:val="24"/>
          <w:highlight w:val="none"/>
          <w:u w:val="none"/>
          <w:lang w:val="en-US" w:eastAsia="zh-CN"/>
        </w:rPr>
        <w:t>11</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val="en-US" w:eastAsia="zh-CN"/>
        </w:rPr>
        <w:t>售卖柜投放</w:t>
      </w:r>
      <w:r>
        <w:rPr>
          <w:rFonts w:hint="eastAsia" w:asciiTheme="minorEastAsia" w:hAnsiTheme="minorEastAsia" w:eastAsiaTheme="minorEastAsia" w:cstheme="minorEastAsia"/>
          <w:b w:val="0"/>
          <w:bCs w:val="0"/>
          <w:color w:val="000000"/>
          <w:kern w:val="0"/>
          <w:sz w:val="24"/>
          <w:szCs w:val="24"/>
          <w:highlight w:val="none"/>
          <w:u w:val="none"/>
        </w:rPr>
        <w:t>项目</w:t>
      </w:r>
    </w:p>
    <w:p w14:paraId="6D86DB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lang w:val="en-US" w:eastAsia="zh-CN"/>
        </w:rPr>
        <w:t>在满足资质及需求的前提下，按“价高者得”的原则确定该项目的中标单位。</w:t>
      </w:r>
    </w:p>
    <w:p w14:paraId="3AD7ABB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lang w:val="en-US" w:eastAsia="zh-CN"/>
        </w:rPr>
        <w:t>投放数量：</w:t>
      </w:r>
      <w:r>
        <w:rPr>
          <w:rFonts w:hint="eastAsia" w:asciiTheme="minorEastAsia" w:hAnsiTheme="minorEastAsia" w:eastAsiaTheme="minorEastAsia" w:cstheme="minorEastAsia"/>
          <w:b w:val="0"/>
          <w:bCs w:val="0"/>
          <w:color w:val="000000"/>
          <w:kern w:val="0"/>
          <w:sz w:val="24"/>
          <w:szCs w:val="24"/>
          <w:highlight w:val="none"/>
          <w:u w:val="none"/>
          <w:lang w:val="en-US" w:eastAsia="zh-CN"/>
        </w:rPr>
        <w:t>5台</w:t>
      </w:r>
    </w:p>
    <w:p w14:paraId="72DA8BD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val="en-US" w:eastAsia="zh-CN"/>
        </w:rPr>
        <w:t>低</w:t>
      </w:r>
      <w:r>
        <w:rPr>
          <w:rFonts w:hint="eastAsia" w:asciiTheme="minorEastAsia" w:hAnsiTheme="minorEastAsia" w:eastAsiaTheme="minorEastAsia" w:cstheme="minorEastAsia"/>
          <w:b/>
          <w:bCs/>
          <w:color w:val="000000"/>
          <w:kern w:val="0"/>
          <w:sz w:val="24"/>
          <w:szCs w:val="24"/>
          <w:highlight w:val="none"/>
          <w:u w:val="none"/>
        </w:rPr>
        <w:t>限价：</w:t>
      </w:r>
      <w:bookmarkStart w:id="5" w:name="_Toc35393799"/>
      <w:bookmarkStart w:id="6" w:name="_Toc28359090"/>
      <w:bookmarkStart w:id="7" w:name="_Toc28359013"/>
      <w:bookmarkStart w:id="8" w:name="_Toc35393630"/>
      <w:r>
        <w:rPr>
          <w:rFonts w:hint="eastAsia" w:asciiTheme="minorEastAsia" w:hAnsiTheme="minorEastAsia" w:eastAsiaTheme="minorEastAsia" w:cstheme="minorEastAsia"/>
          <w:b/>
          <w:bCs/>
          <w:color w:val="000000"/>
          <w:kern w:val="0"/>
          <w:sz w:val="24"/>
          <w:szCs w:val="24"/>
          <w:highlight w:val="none"/>
          <w:u w:val="none"/>
          <w:lang w:val="en-US" w:eastAsia="zh-CN"/>
        </w:rPr>
        <w:t>6800元/年（电力成本）</w:t>
      </w:r>
    </w:p>
    <w:p w14:paraId="58110EC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服务期限：</w:t>
      </w:r>
      <w:r>
        <w:rPr>
          <w:rFonts w:hint="eastAsia" w:asciiTheme="minorEastAsia" w:hAnsiTheme="minorEastAsia" w:eastAsiaTheme="minorEastAsia" w:cstheme="minorEastAsia"/>
          <w:color w:val="000000"/>
          <w:kern w:val="0"/>
          <w:sz w:val="24"/>
          <w:szCs w:val="24"/>
          <w:highlight w:val="none"/>
          <w:u w:val="none"/>
          <w:lang w:val="en-US" w:eastAsia="zh-CN"/>
        </w:rPr>
        <w:t>一招三年，合同一年一签</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5"/>
      <w:bookmarkEnd w:id="6"/>
      <w:bookmarkEnd w:id="7"/>
      <w:bookmarkEnd w:id="8"/>
    </w:p>
    <w:bookmarkEnd w:id="4"/>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9" w:name="_Toc35393801"/>
      <w:bookmarkStart w:id="10" w:name="_Toc28359015"/>
      <w:bookmarkStart w:id="11" w:name="_Toc35393632"/>
      <w:bookmarkStart w:id="12" w:name="_Toc28359092"/>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19775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5AD375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51E274B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single"/>
          <w:lang w:val="en-US" w:eastAsia="zh-CN"/>
        </w:rPr>
      </w:pPr>
      <w:r>
        <w:rPr>
          <w:rFonts w:hint="eastAsia" w:asciiTheme="minorEastAsia" w:hAnsiTheme="minorEastAsia" w:eastAsiaTheme="minorEastAsia" w:cstheme="minorEastAsia"/>
          <w:b/>
          <w:bCs/>
          <w:color w:val="000000"/>
          <w:kern w:val="0"/>
          <w:sz w:val="24"/>
          <w:szCs w:val="24"/>
          <w:highlight w:val="none"/>
          <w:u w:val="single"/>
          <w:lang w:val="en-US" w:eastAsia="zh-CN"/>
        </w:rPr>
        <w:t>本项目有关的特殊需求：</w:t>
      </w:r>
    </w:p>
    <w:p w14:paraId="44947AF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single"/>
          <w:lang w:val="en-US" w:eastAsia="zh-CN"/>
        </w:rPr>
      </w:pPr>
      <w:r>
        <w:rPr>
          <w:rFonts w:hint="eastAsia" w:asciiTheme="minorEastAsia" w:hAnsiTheme="minorEastAsia" w:eastAsiaTheme="minorEastAsia" w:cstheme="minorEastAsia"/>
          <w:b/>
          <w:bCs/>
          <w:color w:val="000000"/>
          <w:kern w:val="0"/>
          <w:sz w:val="24"/>
          <w:szCs w:val="24"/>
          <w:highlight w:val="none"/>
          <w:u w:val="single"/>
          <w:lang w:val="en-US" w:eastAsia="zh-CN"/>
        </w:rPr>
        <w:t>具备食品销售经营资质，具有预包装食品经营者备案或食品经营许可证。</w:t>
      </w:r>
    </w:p>
    <w:p w14:paraId="33CEBC2C">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lang w:val="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28</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9"/>
    <w:bookmarkEnd w:id="10"/>
    <w:bookmarkEnd w:id="11"/>
    <w:bookmarkEnd w:id="12"/>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w:t>
      </w:r>
      <w:r>
        <w:rPr>
          <w:rFonts w:hint="eastAsia" w:asciiTheme="minorEastAsia" w:hAnsiTheme="minorEastAsia" w:eastAsiaTheme="minorEastAsia" w:cstheme="minorEastAsia"/>
          <w:b w:val="0"/>
          <w:bCs w:val="0"/>
          <w:sz w:val="24"/>
          <w:szCs w:val="24"/>
          <w:highlight w:val="none"/>
          <w:u w:val="none"/>
          <w:lang w:val="en-US" w:eastAsia="zh-CN"/>
        </w:rPr>
        <w:t>竞价</w:t>
      </w:r>
      <w:r>
        <w:rPr>
          <w:rFonts w:hint="eastAsia" w:asciiTheme="minorEastAsia" w:hAnsiTheme="minorEastAsia" w:eastAsiaTheme="minorEastAsia" w:cstheme="minorEastAsia"/>
          <w:b w:val="0"/>
          <w:bCs w:val="0"/>
          <w:sz w:val="24"/>
          <w:szCs w:val="24"/>
          <w:highlight w:val="none"/>
          <w:u w:val="none"/>
        </w:rPr>
        <w:t>文件中规定资格条件的；（2）未实质性响应</w:t>
      </w:r>
      <w:r>
        <w:rPr>
          <w:rFonts w:hint="eastAsia" w:asciiTheme="minorEastAsia" w:hAnsiTheme="minorEastAsia" w:eastAsiaTheme="minorEastAsia" w:cstheme="minorEastAsia"/>
          <w:b w:val="0"/>
          <w:bCs w:val="0"/>
          <w:sz w:val="24"/>
          <w:szCs w:val="24"/>
          <w:highlight w:val="none"/>
          <w:u w:val="none"/>
          <w:lang w:eastAsia="zh-CN"/>
        </w:rPr>
        <w:t>竞价</w:t>
      </w:r>
      <w:r>
        <w:rPr>
          <w:rFonts w:hint="eastAsia" w:asciiTheme="minorEastAsia" w:hAnsiTheme="minorEastAsia" w:eastAsiaTheme="minorEastAsia" w:cstheme="minorEastAsia"/>
          <w:b w:val="0"/>
          <w:bCs w:val="0"/>
          <w:sz w:val="24"/>
          <w:szCs w:val="24"/>
          <w:highlight w:val="none"/>
          <w:u w:val="none"/>
        </w:rPr>
        <w:t>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w:t>
      </w:r>
      <w:r>
        <w:rPr>
          <w:rFonts w:hint="eastAsia" w:asciiTheme="minorEastAsia" w:hAnsiTheme="minorEastAsia" w:eastAsiaTheme="minorEastAsia" w:cstheme="minorEastAsia"/>
          <w:b w:val="0"/>
          <w:bCs w:val="0"/>
          <w:sz w:val="24"/>
          <w:szCs w:val="24"/>
          <w:highlight w:val="none"/>
          <w:u w:val="none"/>
          <w:lang w:eastAsia="zh-CN"/>
        </w:rPr>
        <w:t>竞价</w:t>
      </w:r>
      <w:r>
        <w:rPr>
          <w:rFonts w:hint="eastAsia" w:asciiTheme="minorEastAsia" w:hAnsiTheme="minorEastAsia" w:eastAsiaTheme="minorEastAsia" w:cstheme="minorEastAsia"/>
          <w:b w:val="0"/>
          <w:bCs w:val="0"/>
          <w:sz w:val="24"/>
          <w:szCs w:val="24"/>
          <w:highlight w:val="none"/>
          <w:u w:val="none"/>
        </w:rPr>
        <w:t>终止：</w:t>
      </w:r>
      <w:r>
        <w:rPr>
          <w:rFonts w:hint="eastAsia" w:asciiTheme="minorEastAsia" w:hAnsiTheme="minorEastAsia" w:eastAsiaTheme="minorEastAsia" w:cstheme="minorEastAsia"/>
          <w:b w:val="0"/>
          <w:bCs w:val="0"/>
          <w:sz w:val="24"/>
          <w:szCs w:val="24"/>
          <w:highlight w:val="none"/>
          <w:u w:val="none"/>
          <w:lang w:val="zh-CN"/>
        </w:rPr>
        <w:t>（1）所有服务商的响应文件被竞价小组认定为无效的；（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7</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29</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23ADFA4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2034DF9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开标携带资料（一份，要求用信封或档案袋密封完好，不密封有权拒收。以下材料不全者视为无效标）</w:t>
      </w:r>
    </w:p>
    <w:p w14:paraId="0676E751">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u w:val="single"/>
          <w:lang w:val="en-US" w:eastAsia="zh-CN"/>
        </w:rPr>
        <w:t>报价单</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u w:val="single"/>
          <w:lang w:val="en-US" w:eastAsia="zh-CN"/>
        </w:rPr>
        <w:t>2、资质要求（第二条）</w:t>
      </w:r>
      <w:bookmarkStart w:id="13" w:name="_Toc28359094"/>
      <w:bookmarkStart w:id="14" w:name="_Toc35393803"/>
      <w:bookmarkStart w:id="15" w:name="_Toc28359017"/>
      <w:bookmarkStart w:id="16" w:name="_Toc35393634"/>
    </w:p>
    <w:p w14:paraId="62BD1A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u w:val="single"/>
          <w:lang w:val="en-US" w:eastAsia="zh-CN"/>
        </w:rPr>
        <w:t>3、摆放产品明细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高</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3"/>
      <w:bookmarkEnd w:id="14"/>
      <w:bookmarkEnd w:id="15"/>
      <w:bookmarkEnd w:id="16"/>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7" w:name="_Toc28359018"/>
      <w:bookmarkStart w:id="18" w:name="_Toc35393805"/>
      <w:bookmarkStart w:id="19" w:name="_Toc28359095"/>
      <w:bookmarkStart w:id="20"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7"/>
      <w:bookmarkEnd w:id="18"/>
      <w:bookmarkEnd w:id="19"/>
      <w:bookmarkEnd w:id="20"/>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    称：  总务科（</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025-56232027</w:t>
      </w:r>
      <w:r>
        <w:rPr>
          <w:rFonts w:hint="eastAsia" w:asciiTheme="minorEastAsia" w:hAnsiTheme="minorEastAsia" w:eastAsiaTheme="minorEastAsia" w:cstheme="minorEastAsia"/>
          <w:b w:val="0"/>
          <w:bCs w:val="0"/>
          <w:sz w:val="24"/>
          <w:szCs w:val="24"/>
          <w:highlight w:val="none"/>
          <w:u w:val="none"/>
          <w:lang w:val="en-US" w:eastAsia="zh-CN"/>
        </w:rPr>
        <w:t>周</w:t>
      </w:r>
      <w:r>
        <w:rPr>
          <w:rFonts w:hint="eastAsia" w:asciiTheme="minorEastAsia" w:hAnsiTheme="minorEastAsia" w:eastAsiaTheme="minorEastAsia" w:cstheme="minorEastAsia"/>
          <w:b w:val="0"/>
          <w:bCs w:val="0"/>
          <w:sz w:val="24"/>
          <w:szCs w:val="24"/>
          <w:highlight w:val="none"/>
          <w:u w:val="none"/>
        </w:rPr>
        <w:t>老师（总务科）</w:t>
      </w:r>
    </w:p>
    <w:p w14:paraId="1966E502">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109981D5">
      <w:pPr>
        <w:pStyle w:val="2"/>
        <w:rPr>
          <w:rFonts w:hint="eastAsia" w:asciiTheme="minorEastAsia" w:hAnsiTheme="minorEastAsia" w:eastAsiaTheme="minorEastAsia" w:cstheme="minorEastAsia"/>
          <w:b w:val="0"/>
          <w:bCs w:val="0"/>
          <w:sz w:val="24"/>
          <w:szCs w:val="24"/>
          <w:highlight w:val="none"/>
          <w:u w:val="none"/>
        </w:rPr>
      </w:pPr>
    </w:p>
    <w:p w14:paraId="2EDABF02">
      <w:pPr>
        <w:rPr>
          <w:rFonts w:hint="eastAsia" w:asciiTheme="minorEastAsia" w:hAnsiTheme="minorEastAsia" w:eastAsiaTheme="minorEastAsia" w:cstheme="minorEastAsia"/>
          <w:b w:val="0"/>
          <w:bCs w:val="0"/>
          <w:sz w:val="24"/>
          <w:szCs w:val="24"/>
          <w:highlight w:val="none"/>
          <w:u w:val="none"/>
        </w:rPr>
      </w:pPr>
    </w:p>
    <w:p w14:paraId="7B955300">
      <w:pPr>
        <w:numPr>
          <w:ilvl w:val="0"/>
          <w:numId w:val="0"/>
        </w:numPr>
        <w:spacing w:line="400" w:lineRule="exact"/>
        <w:ind w:firstLine="3092" w:firstLineChars="1100"/>
        <w:rPr>
          <w:rFonts w:hint="default" w:cs="仿宋"/>
          <w:b w:val="0"/>
          <w:bCs w:val="0"/>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第一部分   采购需求</w:t>
      </w:r>
    </w:p>
    <w:p w14:paraId="24A0281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一、项目清单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37"/>
        <w:gridCol w:w="1833"/>
        <w:gridCol w:w="1610"/>
        <w:gridCol w:w="710"/>
        <w:gridCol w:w="773"/>
        <w:gridCol w:w="2477"/>
      </w:tblGrid>
      <w:tr w14:paraId="60D7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14:paraId="1D26A2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序号</w:t>
            </w:r>
          </w:p>
        </w:tc>
        <w:tc>
          <w:tcPr>
            <w:tcW w:w="1437" w:type="dxa"/>
          </w:tcPr>
          <w:p w14:paraId="1CA285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产品名称</w:t>
            </w:r>
          </w:p>
        </w:tc>
        <w:tc>
          <w:tcPr>
            <w:tcW w:w="1833" w:type="dxa"/>
          </w:tcPr>
          <w:p w14:paraId="0AD5C2C6">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10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尺寸</w:t>
            </w:r>
          </w:p>
        </w:tc>
        <w:tc>
          <w:tcPr>
            <w:tcW w:w="1610" w:type="dxa"/>
            <w:shd w:val="clear" w:color="auto" w:fill="auto"/>
            <w:vAlign w:val="top"/>
          </w:tcPr>
          <w:p w14:paraId="2459E4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kern w:val="2"/>
                <w:sz w:val="21"/>
                <w:szCs w:val="21"/>
                <w:highlight w:val="none"/>
                <w:u w:val="none"/>
                <w:vertAlign w:val="baseline"/>
                <w:lang w:val="en-US" w:eastAsia="zh-CN" w:bidi="ar-SA"/>
              </w:rPr>
            </w:pPr>
            <w:r>
              <w:rPr>
                <w:rFonts w:hint="eastAsia" w:asciiTheme="minorEastAsia" w:hAnsiTheme="minorEastAsia" w:eastAsiaTheme="minorEastAsia" w:cstheme="minorEastAsia"/>
                <w:b w:val="0"/>
                <w:bCs w:val="0"/>
                <w:sz w:val="21"/>
                <w:szCs w:val="21"/>
                <w:highlight w:val="none"/>
                <w:u w:val="none"/>
                <w:vertAlign w:val="baseline"/>
                <w:lang w:val="en-US" w:eastAsia="zh-CN"/>
              </w:rPr>
              <w:t>功率电源</w:t>
            </w:r>
          </w:p>
        </w:tc>
        <w:tc>
          <w:tcPr>
            <w:tcW w:w="710" w:type="dxa"/>
          </w:tcPr>
          <w:p w14:paraId="71D7DB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数量</w:t>
            </w:r>
          </w:p>
        </w:tc>
        <w:tc>
          <w:tcPr>
            <w:tcW w:w="773" w:type="dxa"/>
          </w:tcPr>
          <w:p w14:paraId="66419B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单位</w:t>
            </w:r>
          </w:p>
        </w:tc>
        <w:tc>
          <w:tcPr>
            <w:tcW w:w="2477" w:type="dxa"/>
          </w:tcPr>
          <w:p w14:paraId="752732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单价最低限价（元）</w:t>
            </w:r>
          </w:p>
        </w:tc>
      </w:tr>
      <w:tr w14:paraId="24D2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42" w:type="dxa"/>
          </w:tcPr>
          <w:p w14:paraId="6D8F72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1</w:t>
            </w:r>
          </w:p>
        </w:tc>
        <w:tc>
          <w:tcPr>
            <w:tcW w:w="1437" w:type="dxa"/>
          </w:tcPr>
          <w:p w14:paraId="10901F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售卖柜（小型）</w:t>
            </w:r>
          </w:p>
        </w:tc>
        <w:tc>
          <w:tcPr>
            <w:tcW w:w="1833" w:type="dxa"/>
          </w:tcPr>
          <w:p w14:paraId="5A233E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宽度≤80cm</w:t>
            </w:r>
          </w:p>
        </w:tc>
        <w:tc>
          <w:tcPr>
            <w:tcW w:w="1610" w:type="dxa"/>
            <w:shd w:val="clear" w:color="auto" w:fill="auto"/>
            <w:vAlign w:val="top"/>
          </w:tcPr>
          <w:p w14:paraId="6A9601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kern w:val="2"/>
                <w:sz w:val="21"/>
                <w:szCs w:val="21"/>
                <w:highlight w:val="none"/>
                <w:u w:val="none"/>
                <w:vertAlign w:val="baseline"/>
                <w:lang w:val="en-US" w:eastAsia="zh-CN" w:bidi="ar-SA"/>
              </w:rPr>
            </w:pPr>
            <w:r>
              <w:rPr>
                <w:rFonts w:hint="eastAsia" w:asciiTheme="minorEastAsia" w:hAnsiTheme="minorEastAsia" w:eastAsiaTheme="minorEastAsia" w:cstheme="minorEastAsia"/>
                <w:b w:val="0"/>
                <w:bCs w:val="0"/>
                <w:sz w:val="21"/>
                <w:szCs w:val="21"/>
                <w:highlight w:val="none"/>
                <w:u w:val="none"/>
                <w:vertAlign w:val="baseline"/>
                <w:lang w:val="en-US" w:eastAsia="zh-CN"/>
              </w:rPr>
              <w:t>功率＜200W，220V</w:t>
            </w:r>
          </w:p>
        </w:tc>
        <w:tc>
          <w:tcPr>
            <w:tcW w:w="710" w:type="dxa"/>
          </w:tcPr>
          <w:p w14:paraId="415B7ACF">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10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3</w:t>
            </w:r>
          </w:p>
        </w:tc>
        <w:tc>
          <w:tcPr>
            <w:tcW w:w="773" w:type="dxa"/>
          </w:tcPr>
          <w:p w14:paraId="6108093E">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100"/>
              <w:jc w:val="both"/>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台</w:t>
            </w:r>
          </w:p>
        </w:tc>
        <w:tc>
          <w:tcPr>
            <w:tcW w:w="2477" w:type="dxa"/>
          </w:tcPr>
          <w:p w14:paraId="5B0745C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1200</w:t>
            </w:r>
          </w:p>
        </w:tc>
      </w:tr>
      <w:tr w14:paraId="76A6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14:paraId="6F3A47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2</w:t>
            </w:r>
          </w:p>
        </w:tc>
        <w:tc>
          <w:tcPr>
            <w:tcW w:w="1437" w:type="dxa"/>
          </w:tcPr>
          <w:p w14:paraId="54C3C292">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10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售卖柜（中型）</w:t>
            </w:r>
          </w:p>
        </w:tc>
        <w:tc>
          <w:tcPr>
            <w:tcW w:w="1833" w:type="dxa"/>
          </w:tcPr>
          <w:p w14:paraId="3A090E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80cm＜宽度≤120cm</w:t>
            </w:r>
          </w:p>
        </w:tc>
        <w:tc>
          <w:tcPr>
            <w:tcW w:w="1610" w:type="dxa"/>
            <w:shd w:val="clear" w:color="auto" w:fill="auto"/>
            <w:vAlign w:val="top"/>
          </w:tcPr>
          <w:p w14:paraId="557D98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kern w:val="2"/>
                <w:sz w:val="21"/>
                <w:szCs w:val="21"/>
                <w:highlight w:val="none"/>
                <w:u w:val="none"/>
                <w:vertAlign w:val="baseline"/>
                <w:lang w:val="en-US" w:eastAsia="zh-CN" w:bidi="ar-SA"/>
              </w:rPr>
            </w:pPr>
            <w:r>
              <w:rPr>
                <w:rFonts w:hint="eastAsia" w:asciiTheme="minorEastAsia" w:hAnsiTheme="minorEastAsia" w:eastAsiaTheme="minorEastAsia" w:cstheme="minorEastAsia"/>
                <w:b w:val="0"/>
                <w:bCs w:val="0"/>
                <w:sz w:val="21"/>
                <w:szCs w:val="21"/>
                <w:highlight w:val="none"/>
                <w:u w:val="none"/>
                <w:vertAlign w:val="baseline"/>
                <w:lang w:val="en-US" w:eastAsia="zh-CN"/>
              </w:rPr>
              <w:t>功率＜600W，220V</w:t>
            </w:r>
          </w:p>
        </w:tc>
        <w:tc>
          <w:tcPr>
            <w:tcW w:w="710" w:type="dxa"/>
          </w:tcPr>
          <w:p w14:paraId="3BAC843D">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100"/>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2</w:t>
            </w:r>
          </w:p>
        </w:tc>
        <w:tc>
          <w:tcPr>
            <w:tcW w:w="773" w:type="dxa"/>
          </w:tcPr>
          <w:p w14:paraId="4CC16CE6">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100"/>
              <w:jc w:val="both"/>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台</w:t>
            </w:r>
          </w:p>
        </w:tc>
        <w:tc>
          <w:tcPr>
            <w:tcW w:w="2477" w:type="dxa"/>
          </w:tcPr>
          <w:p w14:paraId="320D9A7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1600</w:t>
            </w:r>
          </w:p>
        </w:tc>
      </w:tr>
      <w:tr w14:paraId="1948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5" w:type="dxa"/>
            <w:gridSpan w:val="6"/>
          </w:tcPr>
          <w:p w14:paraId="4471B88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 xml:space="preserve">                                         最低限价合计（元）</w:t>
            </w:r>
          </w:p>
        </w:tc>
        <w:tc>
          <w:tcPr>
            <w:tcW w:w="2477" w:type="dxa"/>
          </w:tcPr>
          <w:p w14:paraId="24011BE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1"/>
                <w:szCs w:val="21"/>
                <w:highlight w:val="none"/>
                <w:u w:val="none"/>
                <w:vertAlign w:val="baseline"/>
                <w:lang w:val="en-US" w:eastAsia="zh-CN"/>
              </w:rPr>
            </w:pPr>
            <w:r>
              <w:rPr>
                <w:rFonts w:hint="eastAsia" w:asciiTheme="minorEastAsia" w:hAnsiTheme="minorEastAsia" w:eastAsiaTheme="minorEastAsia" w:cstheme="minorEastAsia"/>
                <w:b w:val="0"/>
                <w:bCs w:val="0"/>
                <w:sz w:val="21"/>
                <w:szCs w:val="21"/>
                <w:highlight w:val="none"/>
                <w:u w:val="none"/>
                <w:vertAlign w:val="baseline"/>
                <w:lang w:val="en-US" w:eastAsia="zh-CN"/>
              </w:rPr>
              <w:t>6800</w:t>
            </w:r>
          </w:p>
        </w:tc>
      </w:tr>
    </w:tbl>
    <w:p w14:paraId="0F3460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692BA2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二、服务条款</w:t>
      </w:r>
    </w:p>
    <w:p w14:paraId="3F2543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1、乙方应对运营服务活动有效管理，对售卖柜内产品进行食品质量等定期巡查，留有台账记录。</w:t>
      </w:r>
    </w:p>
    <w:p w14:paraId="50C098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w:t>
      </w:r>
      <w:r>
        <w:rPr>
          <w:rFonts w:hint="default" w:asciiTheme="minorEastAsia" w:hAnsiTheme="minorEastAsia" w:eastAsiaTheme="minorEastAsia" w:cstheme="minorEastAsia"/>
          <w:b w:val="0"/>
          <w:bCs w:val="0"/>
          <w:sz w:val="24"/>
          <w:szCs w:val="24"/>
          <w:highlight w:val="none"/>
          <w:u w:val="none"/>
          <w:lang w:val="en-US" w:eastAsia="zh-CN"/>
        </w:rPr>
        <w:t>故障响应时间</w:t>
      </w:r>
      <w:r>
        <w:rPr>
          <w:rFonts w:hint="eastAsia" w:asciiTheme="minorEastAsia" w:hAnsiTheme="minorEastAsia" w:eastAsiaTheme="minorEastAsia" w:cstheme="minorEastAsia"/>
          <w:b w:val="0"/>
          <w:bCs w:val="0"/>
          <w:sz w:val="24"/>
          <w:szCs w:val="24"/>
          <w:highlight w:val="none"/>
          <w:u w:val="none"/>
          <w:lang w:val="en-US" w:eastAsia="zh-CN"/>
        </w:rPr>
        <w:t>为</w:t>
      </w:r>
      <w:r>
        <w:rPr>
          <w:rFonts w:hint="default" w:asciiTheme="minorEastAsia" w:hAnsiTheme="minorEastAsia" w:eastAsiaTheme="minorEastAsia" w:cstheme="minorEastAsia"/>
          <w:b w:val="0"/>
          <w:bCs w:val="0"/>
          <w:sz w:val="24"/>
          <w:szCs w:val="24"/>
          <w:highlight w:val="none"/>
          <w:u w:val="none"/>
          <w:lang w:val="en-US" w:eastAsia="zh-CN"/>
        </w:rPr>
        <w:t>2小时内到场</w:t>
      </w:r>
      <w:r>
        <w:rPr>
          <w:rFonts w:hint="eastAsia" w:asciiTheme="minorEastAsia" w:hAnsiTheme="minorEastAsia" w:eastAsiaTheme="minorEastAsia" w:cstheme="minorEastAsia"/>
          <w:b w:val="0"/>
          <w:bCs w:val="0"/>
          <w:sz w:val="24"/>
          <w:szCs w:val="24"/>
          <w:highlight w:val="none"/>
          <w:u w:val="none"/>
          <w:lang w:val="en-US" w:eastAsia="zh-CN"/>
        </w:rPr>
        <w:t>，及时补货，必要时向甲方提供经营数据。确保遵守国家及地方相关法律法规，明确</w:t>
      </w:r>
      <w:r>
        <w:rPr>
          <w:rFonts w:hint="default" w:asciiTheme="minorEastAsia" w:hAnsiTheme="minorEastAsia" w:eastAsiaTheme="minorEastAsia" w:cstheme="minorEastAsia"/>
          <w:b w:val="0"/>
          <w:bCs w:val="0"/>
          <w:sz w:val="24"/>
          <w:szCs w:val="24"/>
          <w:highlight w:val="none"/>
          <w:u w:val="none"/>
          <w:lang w:val="en-US" w:eastAsia="zh-CN"/>
        </w:rPr>
        <w:t>数据安全及用户隐私保护责任</w:t>
      </w:r>
      <w:r>
        <w:rPr>
          <w:rFonts w:hint="eastAsia" w:asciiTheme="minorEastAsia" w:hAnsiTheme="minorEastAsia" w:eastAsiaTheme="minorEastAsia" w:cstheme="minorEastAsia"/>
          <w:b w:val="0"/>
          <w:bCs w:val="0"/>
          <w:sz w:val="24"/>
          <w:szCs w:val="24"/>
          <w:highlight w:val="none"/>
          <w:u w:val="none"/>
          <w:lang w:val="en-US" w:eastAsia="zh-CN"/>
        </w:rPr>
        <w:t>，接受并配合甲方的管理。</w:t>
      </w:r>
    </w:p>
    <w:p w14:paraId="467F2E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乙方应在现场配备专职的管理和运营人员，由乙方负责管理，服从甲方的领导，乙方人员进出甲方场地必须遵守甲方所有规章制度，接受甲方的监督管理（包括安全生产、交通安全、消防安全等）。在运营管理过程中出现的生产事故和安全责任由乙方自行承担。乙方须按相关操作规范和安全规范实施管理。在此期间发生的一切人身伤亡及财产损失（包括但不限于甲方、乙方、第三方人员伤亡、财产损失）的风险与责任，均由乙方承担并应及时报告甲方及有关部门。安全责任事故一旦发生，甲方有权解除本合同。</w:t>
      </w:r>
    </w:p>
    <w:p w14:paraId="382F15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提供国家检验合格的售卖柜放置在院方场地，乙方应保证其经营的合法性，负责售卖柜的日常运营、维护及销售商品的售后服务。保证售卖柜内出售商品的质量和食品安全，如因机器故障或食品安全等引起的顾客投诉、产生的人身和财产伤害由乙方负责。</w:t>
      </w:r>
    </w:p>
    <w:p w14:paraId="57FBD8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highlight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乙方提供经国家检验合格的售卖柜放置在甲乙双方一致确定的场地。乙方所售商品质量必须符合国家有关要求，价格不得超过苏果超市同品牌规格型号的商品价格。如果超过，按照消费价格的两倍承担违约责任。遭到消费者价格投诉的，按照消费原价退还给消费者。且如因乙方对投诉处理不当或不及时，造成甲方不良影响，发生一次，乙方向甲方承担违约金1000元。如造成甲方损失，甲方有权向乙方追偿。</w:t>
      </w:r>
    </w:p>
    <w:p w14:paraId="63DBC0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6、合同有效期内，乙方不得对合同内的产品明细进行更改。节假日前乙方应及时提前将售卖柜补充齐全，保证节假日期间的正常供应。（提供所放产品明细）</w:t>
      </w:r>
    </w:p>
    <w:p w14:paraId="03B4686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4"/>
          <w:szCs w:val="24"/>
          <w:highlight w:val="none"/>
          <w:u w:val="none"/>
          <w:lang w:val="en-US" w:eastAsia="zh-CN"/>
        </w:rPr>
      </w:pPr>
    </w:p>
    <w:p w14:paraId="56995EC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4"/>
          <w:szCs w:val="24"/>
          <w:highlight w:val="none"/>
          <w:u w:val="none"/>
          <w:lang w:val="en-US" w:eastAsia="zh-CN"/>
        </w:rPr>
      </w:pPr>
    </w:p>
    <w:p w14:paraId="3E94EF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三、商务条款</w:t>
      </w:r>
    </w:p>
    <w:p w14:paraId="65793D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1、付款方式：第一年在合同签订后五天内向院方支付该年度的电力成本，之后每年提前一个月支付下一期电力成本。</w:t>
      </w:r>
    </w:p>
    <w:p w14:paraId="40C7B1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2、服务期限：一招三年，合同一年一签。每年度对乙方的服务质量和产品质量进行监督评价合格后考虑是否进行下一年度的续签。</w:t>
      </w:r>
    </w:p>
    <w:p w14:paraId="3FFB69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003EA8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3、违约条款</w:t>
      </w:r>
    </w:p>
    <w:p w14:paraId="6FEB57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本合同期满后，如乙方逾期退场，则每逾期一天乙方应向甲方支付本合同总价1%的违约金。（2）合同期满终止和解除时，乙方应按时撤场，并将现场清理干净。如场地内有乙方遗留下的任何装饰、家具、装备、物件、物料、设备或其他任何物品，均视为乙方放弃前述物品，甲方有权以任何方式处理前述物品，乙方无异议，也不追究甲方责任或要求甲方赔偿。</w:t>
      </w:r>
    </w:p>
    <w:p w14:paraId="1A76676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FF"/>
          <w:sz w:val="24"/>
          <w:szCs w:val="24"/>
        </w:rPr>
        <w:t>★说明</w:t>
      </w:r>
      <w:r>
        <w:rPr>
          <w:rFonts w:hint="eastAsia" w:asciiTheme="minorEastAsia" w:hAnsiTheme="minorEastAsia" w:eastAsiaTheme="minorEastAsia" w:cstheme="minorEastAsia"/>
          <w:b/>
          <w:bCs/>
          <w:color w:val="0000FF"/>
          <w:sz w:val="24"/>
          <w:szCs w:val="24"/>
          <w:lang w:val="zh-CN"/>
        </w:rPr>
        <w:t>:商务</w:t>
      </w:r>
      <w:r>
        <w:rPr>
          <w:rFonts w:hint="eastAsia" w:asciiTheme="minorEastAsia" w:hAnsiTheme="minorEastAsia" w:eastAsiaTheme="minorEastAsia" w:cstheme="minorEastAsia"/>
          <w:b/>
          <w:bCs/>
          <w:color w:val="0000FF"/>
          <w:sz w:val="24"/>
          <w:szCs w:val="24"/>
        </w:rPr>
        <w:t>要求</w:t>
      </w:r>
      <w:r>
        <w:rPr>
          <w:rFonts w:hint="eastAsia" w:asciiTheme="minorEastAsia" w:hAnsiTheme="minorEastAsia" w:eastAsiaTheme="minorEastAsia" w:cstheme="minorEastAsia"/>
          <w:b/>
          <w:bCs/>
          <w:color w:val="0000FF"/>
          <w:sz w:val="24"/>
          <w:szCs w:val="24"/>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05ABDF89">
      <w:pPr>
        <w:numPr>
          <w:ilvl w:val="0"/>
          <w:numId w:val="0"/>
        </w:numPr>
        <w:spacing w:line="360" w:lineRule="exact"/>
        <w:ind w:leftChars="800" w:firstLine="56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竞价材料准备</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0D883725">
      <w:pPr>
        <w:pStyle w:val="20"/>
        <w:spacing w:line="40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rPr>
        <w:t>附件1: 报价一览表</w:t>
      </w:r>
    </w:p>
    <w:tbl>
      <w:tblPr>
        <w:tblStyle w:val="17"/>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066"/>
        <w:gridCol w:w="1420"/>
        <w:gridCol w:w="1133"/>
        <w:gridCol w:w="1230"/>
        <w:gridCol w:w="1443"/>
        <w:gridCol w:w="2256"/>
      </w:tblGrid>
      <w:tr w14:paraId="633C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24AFAA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序号</w:t>
            </w:r>
          </w:p>
        </w:tc>
        <w:tc>
          <w:tcPr>
            <w:tcW w:w="2066" w:type="dxa"/>
          </w:tcPr>
          <w:p w14:paraId="61D797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产品名称</w:t>
            </w:r>
          </w:p>
        </w:tc>
        <w:tc>
          <w:tcPr>
            <w:tcW w:w="1420" w:type="dxa"/>
            <w:shd w:val="clear" w:color="auto" w:fill="auto"/>
            <w:vAlign w:val="top"/>
          </w:tcPr>
          <w:p w14:paraId="4A828496">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100"/>
              <w:textAlignment w:val="auto"/>
              <w:rPr>
                <w:rFonts w:hint="default" w:asciiTheme="minorEastAsia" w:hAnsiTheme="minorEastAsia" w:eastAsiaTheme="minorEastAsia" w:cstheme="minorEastAsia"/>
                <w:b w:val="0"/>
                <w:bCs w:val="0"/>
                <w:kern w:val="2"/>
                <w:sz w:val="21"/>
                <w:szCs w:val="21"/>
                <w:highlight w:val="none"/>
                <w:u w:val="none"/>
                <w:vertAlign w:val="baseline"/>
                <w:lang w:val="en-US" w:eastAsia="zh-CN" w:bidi="ar-SA"/>
              </w:rPr>
            </w:pPr>
            <w:r>
              <w:rPr>
                <w:rFonts w:hint="eastAsia" w:asciiTheme="minorEastAsia" w:hAnsiTheme="minorEastAsia" w:eastAsiaTheme="minorEastAsia" w:cstheme="minorEastAsia"/>
                <w:b w:val="0"/>
                <w:bCs w:val="0"/>
                <w:sz w:val="21"/>
                <w:szCs w:val="21"/>
                <w:highlight w:val="none"/>
                <w:u w:val="none"/>
                <w:vertAlign w:val="baseline"/>
                <w:lang w:val="en-US" w:eastAsia="zh-CN"/>
              </w:rPr>
              <w:t>尺寸</w:t>
            </w:r>
          </w:p>
        </w:tc>
        <w:tc>
          <w:tcPr>
            <w:tcW w:w="1133" w:type="dxa"/>
          </w:tcPr>
          <w:p w14:paraId="50DEB7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电源</w:t>
            </w:r>
          </w:p>
        </w:tc>
        <w:tc>
          <w:tcPr>
            <w:tcW w:w="1230" w:type="dxa"/>
          </w:tcPr>
          <w:p w14:paraId="551DD2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数量</w:t>
            </w:r>
          </w:p>
        </w:tc>
        <w:tc>
          <w:tcPr>
            <w:tcW w:w="1443" w:type="dxa"/>
          </w:tcPr>
          <w:p w14:paraId="1A6CED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单位</w:t>
            </w:r>
          </w:p>
        </w:tc>
        <w:tc>
          <w:tcPr>
            <w:tcW w:w="2256" w:type="dxa"/>
          </w:tcPr>
          <w:p w14:paraId="7C7ACA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单价电力成本（元）</w:t>
            </w:r>
          </w:p>
        </w:tc>
      </w:tr>
      <w:tr w14:paraId="0C63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64" w:type="dxa"/>
          </w:tcPr>
          <w:p w14:paraId="0E2ED8C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1</w:t>
            </w:r>
          </w:p>
        </w:tc>
        <w:tc>
          <w:tcPr>
            <w:tcW w:w="2066" w:type="dxa"/>
          </w:tcPr>
          <w:p w14:paraId="73FE9570">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售卖柜（小型）</w:t>
            </w:r>
          </w:p>
        </w:tc>
        <w:tc>
          <w:tcPr>
            <w:tcW w:w="1420" w:type="dxa"/>
            <w:shd w:val="clear" w:color="auto" w:fill="auto"/>
            <w:vAlign w:val="top"/>
          </w:tcPr>
          <w:p w14:paraId="0664C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kern w:val="2"/>
                <w:sz w:val="21"/>
                <w:szCs w:val="21"/>
                <w:highlight w:val="none"/>
                <w:u w:val="none"/>
                <w:vertAlign w:val="baseline"/>
                <w:lang w:val="en-US" w:eastAsia="zh-CN" w:bidi="ar-SA"/>
              </w:rPr>
            </w:pPr>
            <w:r>
              <w:rPr>
                <w:rFonts w:hint="eastAsia" w:asciiTheme="minorEastAsia" w:hAnsiTheme="minorEastAsia" w:eastAsiaTheme="minorEastAsia" w:cstheme="minorEastAsia"/>
                <w:b w:val="0"/>
                <w:bCs w:val="0"/>
                <w:sz w:val="21"/>
                <w:szCs w:val="21"/>
                <w:highlight w:val="none"/>
                <w:u w:val="none"/>
                <w:vertAlign w:val="baseline"/>
                <w:lang w:val="en-US" w:eastAsia="zh-CN"/>
              </w:rPr>
              <w:t>宽度≤80cm</w:t>
            </w:r>
          </w:p>
        </w:tc>
        <w:tc>
          <w:tcPr>
            <w:tcW w:w="1133" w:type="dxa"/>
          </w:tcPr>
          <w:p w14:paraId="60D305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220V</w:t>
            </w:r>
          </w:p>
        </w:tc>
        <w:tc>
          <w:tcPr>
            <w:tcW w:w="1230" w:type="dxa"/>
          </w:tcPr>
          <w:p w14:paraId="55BCB98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3</w:t>
            </w:r>
          </w:p>
        </w:tc>
        <w:tc>
          <w:tcPr>
            <w:tcW w:w="1443" w:type="dxa"/>
          </w:tcPr>
          <w:p w14:paraId="6E18D13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台</w:t>
            </w:r>
          </w:p>
        </w:tc>
        <w:tc>
          <w:tcPr>
            <w:tcW w:w="2256" w:type="dxa"/>
          </w:tcPr>
          <w:p w14:paraId="1B3D94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64A2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4" w:type="dxa"/>
          </w:tcPr>
          <w:p w14:paraId="2151383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2</w:t>
            </w:r>
          </w:p>
        </w:tc>
        <w:tc>
          <w:tcPr>
            <w:tcW w:w="2066" w:type="dxa"/>
          </w:tcPr>
          <w:p w14:paraId="1841E803">
            <w:pPr>
              <w:keepNext w:val="0"/>
              <w:keepLines w:val="0"/>
              <w:pageBreakBefore w:val="0"/>
              <w:widowControl w:val="0"/>
              <w:kinsoku/>
              <w:wordWrap/>
              <w:overflowPunct/>
              <w:topLinePunct w:val="0"/>
              <w:autoSpaceDE/>
              <w:autoSpaceDN/>
              <w:bidi w:val="0"/>
              <w:adjustRightInd/>
              <w:snapToGrid/>
              <w:spacing w:line="360" w:lineRule="exact"/>
              <w:ind w:left="0" w:leftChars="0" w:firstLine="240" w:firstLineChars="10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售卖柜（中型）</w:t>
            </w:r>
          </w:p>
        </w:tc>
        <w:tc>
          <w:tcPr>
            <w:tcW w:w="1420" w:type="dxa"/>
            <w:shd w:val="clear" w:color="auto" w:fill="auto"/>
            <w:vAlign w:val="top"/>
          </w:tcPr>
          <w:p w14:paraId="2FBDD0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kern w:val="2"/>
                <w:sz w:val="21"/>
                <w:szCs w:val="21"/>
                <w:highlight w:val="none"/>
                <w:u w:val="none"/>
                <w:vertAlign w:val="baseline"/>
                <w:lang w:val="en-US" w:eastAsia="zh-CN" w:bidi="ar-SA"/>
              </w:rPr>
            </w:pPr>
            <w:r>
              <w:rPr>
                <w:rFonts w:hint="eastAsia" w:asciiTheme="minorEastAsia" w:hAnsiTheme="minorEastAsia" w:eastAsiaTheme="minorEastAsia" w:cstheme="minorEastAsia"/>
                <w:b w:val="0"/>
                <w:bCs w:val="0"/>
                <w:sz w:val="21"/>
                <w:szCs w:val="21"/>
                <w:highlight w:val="none"/>
                <w:u w:val="none"/>
                <w:vertAlign w:val="baseline"/>
                <w:lang w:val="en-US" w:eastAsia="zh-CN"/>
              </w:rPr>
              <w:t>80cm＜宽度≤120cm</w:t>
            </w:r>
          </w:p>
        </w:tc>
        <w:tc>
          <w:tcPr>
            <w:tcW w:w="1133" w:type="dxa"/>
          </w:tcPr>
          <w:p w14:paraId="4348C9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220V</w:t>
            </w:r>
          </w:p>
        </w:tc>
        <w:tc>
          <w:tcPr>
            <w:tcW w:w="1230" w:type="dxa"/>
          </w:tcPr>
          <w:p w14:paraId="531946E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2</w:t>
            </w:r>
          </w:p>
        </w:tc>
        <w:tc>
          <w:tcPr>
            <w:tcW w:w="1443" w:type="dxa"/>
          </w:tcPr>
          <w:p w14:paraId="1F46800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台</w:t>
            </w:r>
          </w:p>
        </w:tc>
        <w:tc>
          <w:tcPr>
            <w:tcW w:w="2256" w:type="dxa"/>
          </w:tcPr>
          <w:p w14:paraId="64C12D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5FF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69ACC0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总计</w:t>
            </w:r>
          </w:p>
        </w:tc>
        <w:tc>
          <w:tcPr>
            <w:tcW w:w="9548" w:type="dxa"/>
            <w:gridSpan w:val="6"/>
          </w:tcPr>
          <w:p w14:paraId="5D78025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小写：¥        元                   大写：（人民币）         元</w:t>
            </w:r>
          </w:p>
        </w:tc>
      </w:tr>
      <w:tr w14:paraId="1C98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14:paraId="1101B4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服务期</w:t>
            </w:r>
          </w:p>
        </w:tc>
        <w:tc>
          <w:tcPr>
            <w:tcW w:w="9548" w:type="dxa"/>
            <w:gridSpan w:val="6"/>
          </w:tcPr>
          <w:p w14:paraId="1BA96FB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三年，合同一年一签</w:t>
            </w:r>
          </w:p>
        </w:tc>
      </w:tr>
      <w:tr w14:paraId="12A4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64" w:type="dxa"/>
          </w:tcPr>
          <w:p w14:paraId="10E9FB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服务条款</w:t>
            </w:r>
          </w:p>
        </w:tc>
        <w:tc>
          <w:tcPr>
            <w:tcW w:w="9548" w:type="dxa"/>
            <w:gridSpan w:val="6"/>
          </w:tcPr>
          <w:p w14:paraId="66A4D34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 xml:space="preserve">是否全部响应：    </w:t>
            </w:r>
            <w:r>
              <w:rPr>
                <w:rFonts w:hint="eastAsia" w:asciiTheme="minorEastAsia" w:hAnsiTheme="minorEastAsia" w:eastAsiaTheme="minorEastAsia" w:cstheme="minorEastAsia"/>
                <w:b w:val="0"/>
                <w:bCs w:val="0"/>
                <w:sz w:val="24"/>
                <w:szCs w:val="24"/>
                <w:highlight w:val="none"/>
                <w:u w:val="none"/>
                <w:vertAlign w:val="baseline"/>
                <w:lang w:val="en-US" w:eastAsia="zh-CN"/>
              </w:rPr>
              <w:sym w:font="Wingdings" w:char="00A8"/>
            </w:r>
            <w:r>
              <w:rPr>
                <w:rFonts w:hint="eastAsia" w:asciiTheme="minorEastAsia" w:hAnsiTheme="minorEastAsia" w:eastAsiaTheme="minorEastAsia" w:cstheme="minorEastAsia"/>
                <w:b w:val="0"/>
                <w:bCs w:val="0"/>
                <w:sz w:val="24"/>
                <w:szCs w:val="24"/>
                <w:highlight w:val="none"/>
                <w:u w:val="none"/>
                <w:vertAlign w:val="baseline"/>
                <w:lang w:val="en-US" w:eastAsia="zh-CN"/>
              </w:rPr>
              <w:t xml:space="preserve">是         </w:t>
            </w:r>
            <w:r>
              <w:rPr>
                <w:rFonts w:hint="eastAsia" w:asciiTheme="minorEastAsia" w:hAnsiTheme="minorEastAsia" w:eastAsiaTheme="minorEastAsia" w:cstheme="minorEastAsia"/>
                <w:b w:val="0"/>
                <w:bCs w:val="0"/>
                <w:sz w:val="24"/>
                <w:szCs w:val="24"/>
                <w:highlight w:val="none"/>
                <w:u w:val="none"/>
                <w:vertAlign w:val="baseline"/>
                <w:lang w:val="en-US" w:eastAsia="zh-CN"/>
              </w:rPr>
              <w:sym w:font="Wingdings" w:char="00A8"/>
            </w:r>
            <w:r>
              <w:rPr>
                <w:rFonts w:hint="eastAsia" w:asciiTheme="minorEastAsia" w:hAnsiTheme="minorEastAsia" w:eastAsiaTheme="minorEastAsia" w:cstheme="minorEastAsia"/>
                <w:b w:val="0"/>
                <w:bCs w:val="0"/>
                <w:sz w:val="24"/>
                <w:szCs w:val="24"/>
                <w:highlight w:val="none"/>
                <w:u w:val="none"/>
                <w:vertAlign w:val="baseline"/>
                <w:lang w:val="en-US" w:eastAsia="zh-CN"/>
              </w:rPr>
              <w:t>否</w:t>
            </w:r>
          </w:p>
        </w:tc>
      </w:tr>
      <w:tr w14:paraId="20E0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64" w:type="dxa"/>
          </w:tcPr>
          <w:p w14:paraId="723ABD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商务条款</w:t>
            </w:r>
          </w:p>
        </w:tc>
        <w:tc>
          <w:tcPr>
            <w:tcW w:w="9548" w:type="dxa"/>
            <w:gridSpan w:val="6"/>
          </w:tcPr>
          <w:p w14:paraId="0AFFB7A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 xml:space="preserve">是否全部响应：    </w:t>
            </w:r>
            <w:r>
              <w:rPr>
                <w:rFonts w:hint="eastAsia" w:asciiTheme="minorEastAsia" w:hAnsiTheme="minorEastAsia" w:eastAsiaTheme="minorEastAsia" w:cstheme="minorEastAsia"/>
                <w:b w:val="0"/>
                <w:bCs w:val="0"/>
                <w:sz w:val="24"/>
                <w:szCs w:val="24"/>
                <w:highlight w:val="none"/>
                <w:u w:val="none"/>
                <w:vertAlign w:val="baseline"/>
                <w:lang w:val="en-US" w:eastAsia="zh-CN"/>
              </w:rPr>
              <w:sym w:font="Wingdings" w:char="00A8"/>
            </w:r>
            <w:r>
              <w:rPr>
                <w:rFonts w:hint="eastAsia" w:asciiTheme="minorEastAsia" w:hAnsiTheme="minorEastAsia" w:eastAsiaTheme="minorEastAsia" w:cstheme="minorEastAsia"/>
                <w:b w:val="0"/>
                <w:bCs w:val="0"/>
                <w:sz w:val="24"/>
                <w:szCs w:val="24"/>
                <w:highlight w:val="none"/>
                <w:u w:val="none"/>
                <w:vertAlign w:val="baseline"/>
                <w:lang w:val="en-US" w:eastAsia="zh-CN"/>
              </w:rPr>
              <w:t xml:space="preserve">是         </w:t>
            </w:r>
            <w:r>
              <w:rPr>
                <w:rFonts w:hint="eastAsia" w:asciiTheme="minorEastAsia" w:hAnsiTheme="minorEastAsia" w:eastAsiaTheme="minorEastAsia" w:cstheme="minorEastAsia"/>
                <w:b w:val="0"/>
                <w:bCs w:val="0"/>
                <w:sz w:val="24"/>
                <w:szCs w:val="24"/>
                <w:highlight w:val="none"/>
                <w:u w:val="none"/>
                <w:vertAlign w:val="baseline"/>
                <w:lang w:val="en-US" w:eastAsia="zh-CN"/>
              </w:rPr>
              <w:sym w:font="Wingdings" w:char="00A8"/>
            </w:r>
            <w:r>
              <w:rPr>
                <w:rFonts w:hint="eastAsia" w:asciiTheme="minorEastAsia" w:hAnsiTheme="minorEastAsia" w:eastAsiaTheme="minorEastAsia" w:cstheme="minorEastAsia"/>
                <w:b w:val="0"/>
                <w:bCs w:val="0"/>
                <w:sz w:val="24"/>
                <w:szCs w:val="24"/>
                <w:highlight w:val="none"/>
                <w:u w:val="none"/>
                <w:vertAlign w:val="baseline"/>
                <w:lang w:val="en-US" w:eastAsia="zh-CN"/>
              </w:rPr>
              <w:t>否</w:t>
            </w:r>
          </w:p>
        </w:tc>
      </w:tr>
      <w:tr w14:paraId="3E06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64" w:type="dxa"/>
          </w:tcPr>
          <w:p w14:paraId="73429D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安全问题</w:t>
            </w:r>
          </w:p>
        </w:tc>
        <w:tc>
          <w:tcPr>
            <w:tcW w:w="9548" w:type="dxa"/>
            <w:gridSpan w:val="6"/>
          </w:tcPr>
          <w:p w14:paraId="2FC736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乙方应保证其经营的合法性，负责售卖柜的日常运营、维护及销售商品的售后服务。保证售卖柜内出售商品的质量和食品安全，如因机器故障或食品安全等引起的顾客投诉、产生的人身和财产伤害由乙方负责。</w:t>
            </w:r>
          </w:p>
        </w:tc>
      </w:tr>
      <w:tr w14:paraId="5D74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264" w:type="dxa"/>
          </w:tcPr>
          <w:p w14:paraId="7B0C97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项目负责人及联系方式</w:t>
            </w:r>
          </w:p>
        </w:tc>
        <w:tc>
          <w:tcPr>
            <w:tcW w:w="9548" w:type="dxa"/>
            <w:gridSpan w:val="6"/>
          </w:tcPr>
          <w:p w14:paraId="6A38A8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r w14:paraId="793C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4" w:type="dxa"/>
          </w:tcPr>
          <w:p w14:paraId="1C42F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其他条款</w:t>
            </w:r>
          </w:p>
        </w:tc>
        <w:tc>
          <w:tcPr>
            <w:tcW w:w="9548" w:type="dxa"/>
            <w:gridSpan w:val="6"/>
          </w:tcPr>
          <w:p w14:paraId="30F192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p>
        </w:tc>
      </w:tr>
    </w:tbl>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373524B3">
      <w:pPr>
        <w:spacing w:line="400" w:lineRule="exact"/>
        <w:ind w:firstLine="560"/>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5A3A6893">
      <w:pPr>
        <w:pStyle w:val="20"/>
        <w:spacing w:line="400" w:lineRule="exact"/>
        <w:rPr>
          <w:rFonts w:hint="eastAsia" w:asciiTheme="minorEastAsia" w:hAnsiTheme="minorEastAsia" w:eastAsiaTheme="minorEastAsia" w:cstheme="minorEastAsia"/>
          <w:b/>
          <w:bCs/>
          <w:sz w:val="24"/>
          <w:szCs w:val="24"/>
          <w:lang w:val="en-US" w:eastAsia="zh-CN"/>
        </w:rPr>
      </w:pPr>
    </w:p>
    <w:p w14:paraId="12DAFE6B">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附件2：售卖柜内产品明细</w:t>
      </w:r>
    </w:p>
    <w:tbl>
      <w:tblPr>
        <w:tblStyle w:val="17"/>
        <w:tblpPr w:leftFromText="180" w:rightFromText="180" w:vertAnchor="text" w:horzAnchor="page" w:tblpX="1521"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2611"/>
        <w:gridCol w:w="2611"/>
      </w:tblGrid>
      <w:tr w14:paraId="667F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2611" w:type="dxa"/>
          </w:tcPr>
          <w:p w14:paraId="58039B4F">
            <w:pPr>
              <w:pStyle w:val="15"/>
              <w:rPr>
                <w:rFonts w:hint="default"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eastAsiaTheme="minorEastAsia" w:cstheme="minorEastAsia"/>
                <w:b w:val="0"/>
                <w:bCs w:val="0"/>
                <w:sz w:val="18"/>
                <w:szCs w:val="18"/>
                <w:u w:val="none"/>
                <w:vertAlign w:val="baseline"/>
                <w:lang w:val="en-US" w:eastAsia="zh-CN"/>
              </w:rPr>
              <w:t>序号</w:t>
            </w:r>
          </w:p>
        </w:tc>
        <w:tc>
          <w:tcPr>
            <w:tcW w:w="2611" w:type="dxa"/>
          </w:tcPr>
          <w:p w14:paraId="57DD60D4">
            <w:pPr>
              <w:pStyle w:val="15"/>
              <w:rPr>
                <w:rFonts w:hint="default"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eastAsiaTheme="minorEastAsia" w:cstheme="minorEastAsia"/>
                <w:b w:val="0"/>
                <w:bCs w:val="0"/>
                <w:sz w:val="18"/>
                <w:szCs w:val="18"/>
                <w:u w:val="none"/>
                <w:vertAlign w:val="baseline"/>
                <w:lang w:val="en-US" w:eastAsia="zh-CN"/>
              </w:rPr>
              <w:t>产品名称</w:t>
            </w:r>
          </w:p>
        </w:tc>
        <w:tc>
          <w:tcPr>
            <w:tcW w:w="2611" w:type="dxa"/>
          </w:tcPr>
          <w:p w14:paraId="058D1F61">
            <w:pPr>
              <w:pStyle w:val="15"/>
              <w:rPr>
                <w:rFonts w:hint="default"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eastAsiaTheme="minorEastAsia" w:cstheme="minorEastAsia"/>
                <w:b w:val="0"/>
                <w:bCs w:val="0"/>
                <w:sz w:val="18"/>
                <w:szCs w:val="18"/>
                <w:u w:val="none"/>
                <w:vertAlign w:val="baseline"/>
                <w:lang w:val="en-US" w:eastAsia="zh-CN"/>
              </w:rPr>
              <w:t>包装规格</w:t>
            </w:r>
          </w:p>
        </w:tc>
      </w:tr>
      <w:tr w14:paraId="6443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1" w:type="dxa"/>
          </w:tcPr>
          <w:p w14:paraId="38B426CB">
            <w:pPr>
              <w:pStyle w:val="15"/>
              <w:rPr>
                <w:rFonts w:hint="default"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eastAsiaTheme="minorEastAsia" w:cstheme="minorEastAsia"/>
                <w:b w:val="0"/>
                <w:bCs w:val="0"/>
                <w:sz w:val="18"/>
                <w:szCs w:val="18"/>
                <w:u w:val="none"/>
                <w:vertAlign w:val="baseline"/>
                <w:lang w:val="en-US" w:eastAsia="zh-CN"/>
              </w:rPr>
              <w:t>1</w:t>
            </w:r>
          </w:p>
        </w:tc>
        <w:tc>
          <w:tcPr>
            <w:tcW w:w="2611" w:type="dxa"/>
          </w:tcPr>
          <w:p w14:paraId="5101259F">
            <w:pPr>
              <w:pStyle w:val="15"/>
              <w:ind w:left="0" w:leftChars="0" w:firstLine="0" w:firstLineChars="0"/>
              <w:rPr>
                <w:rFonts w:hint="default" w:asciiTheme="minorEastAsia" w:hAnsiTheme="minorEastAsia" w:eastAsiaTheme="minorEastAsia" w:cstheme="minorEastAsia"/>
                <w:b w:val="0"/>
                <w:bCs w:val="0"/>
                <w:sz w:val="18"/>
                <w:szCs w:val="18"/>
                <w:u w:val="none"/>
                <w:vertAlign w:val="baseline"/>
                <w:lang w:val="en-US" w:eastAsia="zh-CN"/>
              </w:rPr>
            </w:pPr>
          </w:p>
        </w:tc>
        <w:tc>
          <w:tcPr>
            <w:tcW w:w="2611" w:type="dxa"/>
          </w:tcPr>
          <w:p w14:paraId="0AD7C316">
            <w:pPr>
              <w:pStyle w:val="15"/>
              <w:rPr>
                <w:rFonts w:hint="default" w:asciiTheme="minorEastAsia" w:hAnsiTheme="minorEastAsia" w:eastAsiaTheme="minorEastAsia" w:cstheme="minorEastAsia"/>
                <w:b w:val="0"/>
                <w:bCs w:val="0"/>
                <w:sz w:val="18"/>
                <w:szCs w:val="18"/>
                <w:u w:val="none"/>
                <w:vertAlign w:val="baseline"/>
                <w:lang w:val="en-US" w:eastAsia="zh-CN"/>
              </w:rPr>
            </w:pPr>
          </w:p>
        </w:tc>
      </w:tr>
      <w:tr w14:paraId="0E92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18C76E44">
            <w:pPr>
              <w:pStyle w:val="15"/>
              <w:rPr>
                <w:rFonts w:hint="default"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eastAsiaTheme="minorEastAsia" w:cstheme="minorEastAsia"/>
                <w:b w:val="0"/>
                <w:bCs w:val="0"/>
                <w:sz w:val="18"/>
                <w:szCs w:val="18"/>
                <w:u w:val="none"/>
                <w:vertAlign w:val="baseline"/>
                <w:lang w:val="en-US" w:eastAsia="zh-CN"/>
              </w:rPr>
              <w:t>2</w:t>
            </w:r>
          </w:p>
        </w:tc>
        <w:tc>
          <w:tcPr>
            <w:tcW w:w="2611" w:type="dxa"/>
          </w:tcPr>
          <w:p w14:paraId="32704730">
            <w:pPr>
              <w:pStyle w:val="15"/>
              <w:rPr>
                <w:rFonts w:hint="default" w:asciiTheme="minorEastAsia" w:hAnsiTheme="minorEastAsia" w:eastAsiaTheme="minorEastAsia" w:cstheme="minorEastAsia"/>
                <w:b w:val="0"/>
                <w:bCs w:val="0"/>
                <w:sz w:val="18"/>
                <w:szCs w:val="18"/>
                <w:u w:val="none"/>
                <w:vertAlign w:val="baseline"/>
                <w:lang w:val="en-US" w:eastAsia="zh-CN"/>
              </w:rPr>
            </w:pPr>
          </w:p>
        </w:tc>
        <w:tc>
          <w:tcPr>
            <w:tcW w:w="2611" w:type="dxa"/>
          </w:tcPr>
          <w:p w14:paraId="33860E9F">
            <w:pPr>
              <w:pStyle w:val="15"/>
              <w:rPr>
                <w:rFonts w:hint="default" w:asciiTheme="minorEastAsia" w:hAnsiTheme="minorEastAsia" w:eastAsiaTheme="minorEastAsia" w:cstheme="minorEastAsia"/>
                <w:b w:val="0"/>
                <w:bCs w:val="0"/>
                <w:sz w:val="18"/>
                <w:szCs w:val="18"/>
                <w:u w:val="none"/>
                <w:vertAlign w:val="baseline"/>
                <w:lang w:val="en-US" w:eastAsia="zh-CN"/>
              </w:rPr>
            </w:pPr>
          </w:p>
        </w:tc>
      </w:tr>
      <w:tr w14:paraId="49CA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22037E81">
            <w:pPr>
              <w:pStyle w:val="15"/>
              <w:rPr>
                <w:rFonts w:hint="default"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eastAsiaTheme="minorEastAsia" w:cstheme="minorEastAsia"/>
                <w:b w:val="0"/>
                <w:bCs w:val="0"/>
                <w:sz w:val="18"/>
                <w:szCs w:val="18"/>
                <w:u w:val="none"/>
                <w:vertAlign w:val="baseline"/>
                <w:lang w:val="en-US" w:eastAsia="zh-CN"/>
              </w:rPr>
              <w:t>...</w:t>
            </w:r>
          </w:p>
        </w:tc>
        <w:tc>
          <w:tcPr>
            <w:tcW w:w="2611" w:type="dxa"/>
          </w:tcPr>
          <w:p w14:paraId="7DD8A25C">
            <w:pPr>
              <w:pStyle w:val="15"/>
              <w:rPr>
                <w:rFonts w:hint="default" w:asciiTheme="minorEastAsia" w:hAnsiTheme="minorEastAsia" w:eastAsiaTheme="minorEastAsia" w:cstheme="minorEastAsia"/>
                <w:b w:val="0"/>
                <w:bCs w:val="0"/>
                <w:sz w:val="18"/>
                <w:szCs w:val="18"/>
                <w:u w:val="none"/>
                <w:vertAlign w:val="baseline"/>
                <w:lang w:val="en-US" w:eastAsia="zh-CN"/>
              </w:rPr>
            </w:pPr>
          </w:p>
        </w:tc>
        <w:tc>
          <w:tcPr>
            <w:tcW w:w="2611" w:type="dxa"/>
          </w:tcPr>
          <w:p w14:paraId="38CAF10F">
            <w:pPr>
              <w:pStyle w:val="15"/>
              <w:rPr>
                <w:rFonts w:hint="default" w:asciiTheme="minorEastAsia" w:hAnsiTheme="minorEastAsia" w:eastAsiaTheme="minorEastAsia" w:cstheme="minorEastAsia"/>
                <w:b w:val="0"/>
                <w:bCs w:val="0"/>
                <w:sz w:val="18"/>
                <w:szCs w:val="18"/>
                <w:u w:val="none"/>
                <w:vertAlign w:val="baseline"/>
                <w:lang w:val="en-US" w:eastAsia="zh-CN"/>
              </w:rPr>
            </w:pPr>
          </w:p>
        </w:tc>
      </w:tr>
    </w:tbl>
    <w:p w14:paraId="7ADD5BD6">
      <w:pPr>
        <w:pStyle w:val="15"/>
        <w:ind w:left="0" w:leftChars="0" w:firstLine="0" w:firstLineChars="0"/>
        <w:rPr>
          <w:rFonts w:hint="default" w:asciiTheme="minorEastAsia" w:hAnsiTheme="minorEastAsia" w:eastAsiaTheme="minorEastAsia" w:cstheme="minorEastAsia"/>
          <w:b w:val="0"/>
          <w:bCs w:val="0"/>
          <w:sz w:val="18"/>
          <w:szCs w:val="18"/>
          <w:u w:val="none"/>
          <w:lang w:val="en-US" w:eastAsia="zh-CN"/>
        </w:rPr>
        <w:sectPr>
          <w:headerReference r:id="rId5" w:type="default"/>
          <w:footerReference r:id="rId6" w:type="default"/>
          <w:pgSz w:w="11906" w:h="16838"/>
          <w:pgMar w:top="1157" w:right="839" w:bottom="1157" w:left="839" w:header="851" w:footer="992" w:gutter="0"/>
          <w:cols w:space="720" w:num="1"/>
          <w:docGrid w:type="lines" w:linePitch="312" w:charSpace="0"/>
        </w:sectPr>
      </w:pPr>
    </w:p>
    <w:p w14:paraId="4D66C604">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附件3：</w:t>
      </w:r>
    </w:p>
    <w:p w14:paraId="20F5B1FD">
      <w:pPr>
        <w:pStyle w:val="20"/>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w:t>
      </w: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月</w:t>
      </w: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日</w:t>
      </w:r>
      <w:bookmarkStart w:id="21" w:name="_GoBack"/>
      <w:bookmarkEnd w:id="21"/>
    </w:p>
    <w:tbl>
      <w:tblPr>
        <w:tblStyle w:val="16"/>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1937"/>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1937"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1937"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1937"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1937"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7323"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7323"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68696522">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77C0757F">
      <w:pPr>
        <w:pStyle w:val="20"/>
        <w:spacing w:line="400" w:lineRule="exact"/>
        <w:rPr>
          <w:rFonts w:hint="default" w:ascii="仿宋" w:hAnsi="仿宋" w:eastAsia="仿宋" w:cs="仿宋"/>
          <w:b/>
          <w:bCs/>
          <w:sz w:val="28"/>
          <w:szCs w:val="28"/>
          <w:lang w:val="en-US" w:eastAsia="zh-CN"/>
        </w:rPr>
      </w:pPr>
    </w:p>
    <w:p w14:paraId="1F95BFD8">
      <w:pPr>
        <w:pStyle w:val="20"/>
        <w:numPr>
          <w:ilvl w:val="0"/>
          <w:numId w:val="0"/>
        </w:numPr>
        <w:spacing w:line="400" w:lineRule="exact"/>
        <w:ind w:leftChars="800"/>
        <w:rPr>
          <w:rFonts w:hint="eastAsia" w:ascii="仿宋" w:hAnsi="仿宋" w:eastAsia="仿宋" w:cs="仿宋"/>
          <w:b/>
          <w:bCs/>
          <w:sz w:val="28"/>
          <w:szCs w:val="28"/>
          <w:lang w:val="en-US" w:eastAsia="zh-CN"/>
        </w:rPr>
      </w:pPr>
    </w:p>
    <w:p w14:paraId="4AE2F9E2">
      <w:pPr>
        <w:pStyle w:val="20"/>
        <w:numPr>
          <w:ilvl w:val="0"/>
          <w:numId w:val="0"/>
        </w:numPr>
        <w:spacing w:line="400" w:lineRule="exact"/>
        <w:ind w:leftChars="800"/>
        <w:rPr>
          <w:rFonts w:hint="eastAsia" w:ascii="仿宋" w:hAnsi="仿宋" w:eastAsia="仿宋" w:cs="仿宋"/>
          <w:b/>
          <w:bCs/>
          <w:sz w:val="28"/>
          <w:szCs w:val="28"/>
          <w:lang w:val="en-US" w:eastAsia="zh-CN"/>
        </w:rPr>
      </w:pPr>
    </w:p>
    <w:p w14:paraId="59B91A16">
      <w:pPr>
        <w:pStyle w:val="20"/>
        <w:numPr>
          <w:ilvl w:val="0"/>
          <w:numId w:val="0"/>
        </w:numPr>
        <w:spacing w:line="400" w:lineRule="exact"/>
        <w:ind w:leftChars="800"/>
        <w:rPr>
          <w:rFonts w:hint="eastAsia" w:ascii="仿宋" w:hAnsi="仿宋" w:eastAsia="仿宋" w:cs="仿宋"/>
          <w:b/>
          <w:bCs/>
          <w:sz w:val="28"/>
          <w:szCs w:val="28"/>
          <w:lang w:val="en-US" w:eastAsia="zh-CN"/>
        </w:rPr>
      </w:pPr>
    </w:p>
    <w:p w14:paraId="389D15F6">
      <w:pPr>
        <w:spacing w:line="400" w:lineRule="exact"/>
        <w:rPr>
          <w:rFonts w:hint="default" w:cs="仿宋"/>
          <w:b w:val="0"/>
          <w:bCs w:val="0"/>
          <w:u w:val="none"/>
          <w:lang w:val="en-US" w:eastAsia="zh-CN"/>
        </w:rPr>
      </w:pPr>
    </w:p>
    <w:sectPr>
      <w:headerReference r:id="rId7"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w:t>
    </w:r>
    <w:r>
      <w:rPr>
        <w:rFonts w:hint="eastAsia"/>
        <w:b w:val="0"/>
        <w:bCs w:val="0"/>
        <w:sz w:val="24"/>
        <w:szCs w:val="24"/>
        <w:u w:val="none"/>
        <w:lang w:val="en-US" w:eastAsia="zh-CN"/>
      </w:rPr>
      <w:t>竞价</w:t>
    </w:r>
    <w:r>
      <w:rPr>
        <w:rFonts w:hint="eastAsia"/>
        <w:b w:val="0"/>
        <w:bCs w:val="0"/>
        <w:sz w:val="24"/>
        <w:szCs w:val="24"/>
        <w:u w:val="none"/>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2"/>
      <w:pBdr>
        <w:bottom w:val="single" w:color="auto" w:sz="4" w:space="1"/>
      </w:pBdr>
      <w:ind w:firstLine="4518" w:firstLineChars="2500"/>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7E85BE58"/>
    <w:multiLevelType w:val="singleLevel"/>
    <w:tmpl w:val="7E85BE5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3CA0201"/>
    <w:rsid w:val="03EF1171"/>
    <w:rsid w:val="04372DA7"/>
    <w:rsid w:val="054170C6"/>
    <w:rsid w:val="057A17B3"/>
    <w:rsid w:val="059E1945"/>
    <w:rsid w:val="05F01509"/>
    <w:rsid w:val="066D6EBE"/>
    <w:rsid w:val="07107C1F"/>
    <w:rsid w:val="0727186C"/>
    <w:rsid w:val="08C3481A"/>
    <w:rsid w:val="09594CC4"/>
    <w:rsid w:val="0A772DBA"/>
    <w:rsid w:val="0B4E1717"/>
    <w:rsid w:val="0C351327"/>
    <w:rsid w:val="0CDB51C5"/>
    <w:rsid w:val="0D10302B"/>
    <w:rsid w:val="0DCD726B"/>
    <w:rsid w:val="105E23FD"/>
    <w:rsid w:val="11140D0D"/>
    <w:rsid w:val="113D0264"/>
    <w:rsid w:val="11A55E09"/>
    <w:rsid w:val="12BD3706"/>
    <w:rsid w:val="12D90460"/>
    <w:rsid w:val="15761F97"/>
    <w:rsid w:val="15F9365C"/>
    <w:rsid w:val="162F7A3C"/>
    <w:rsid w:val="168705BE"/>
    <w:rsid w:val="172E012D"/>
    <w:rsid w:val="17547981"/>
    <w:rsid w:val="17A80770"/>
    <w:rsid w:val="18445357"/>
    <w:rsid w:val="18982224"/>
    <w:rsid w:val="18FA4C14"/>
    <w:rsid w:val="1A7016AA"/>
    <w:rsid w:val="1C2529FF"/>
    <w:rsid w:val="1D791FD7"/>
    <w:rsid w:val="1E317B44"/>
    <w:rsid w:val="1E566E09"/>
    <w:rsid w:val="1EC56C27"/>
    <w:rsid w:val="1F185E6D"/>
    <w:rsid w:val="1F2B3EFC"/>
    <w:rsid w:val="1F8E1CF8"/>
    <w:rsid w:val="1FE907B3"/>
    <w:rsid w:val="1FF266BE"/>
    <w:rsid w:val="21035955"/>
    <w:rsid w:val="21227122"/>
    <w:rsid w:val="215A276C"/>
    <w:rsid w:val="22723902"/>
    <w:rsid w:val="23201F60"/>
    <w:rsid w:val="232C1E94"/>
    <w:rsid w:val="23710410"/>
    <w:rsid w:val="243C0544"/>
    <w:rsid w:val="25D32AED"/>
    <w:rsid w:val="266F3771"/>
    <w:rsid w:val="26F43327"/>
    <w:rsid w:val="274A419B"/>
    <w:rsid w:val="278F4358"/>
    <w:rsid w:val="27AC1913"/>
    <w:rsid w:val="27BB1274"/>
    <w:rsid w:val="288829C2"/>
    <w:rsid w:val="28904894"/>
    <w:rsid w:val="289C7F3C"/>
    <w:rsid w:val="28C8126C"/>
    <w:rsid w:val="29220EF6"/>
    <w:rsid w:val="2B8A65D1"/>
    <w:rsid w:val="2C4F66C1"/>
    <w:rsid w:val="2C6C0DBE"/>
    <w:rsid w:val="2C8132A3"/>
    <w:rsid w:val="2C917248"/>
    <w:rsid w:val="2E1702C2"/>
    <w:rsid w:val="2FAB0A48"/>
    <w:rsid w:val="2FF56385"/>
    <w:rsid w:val="30F45504"/>
    <w:rsid w:val="312F39C2"/>
    <w:rsid w:val="322169DF"/>
    <w:rsid w:val="32EC2DE5"/>
    <w:rsid w:val="332055EB"/>
    <w:rsid w:val="3361798A"/>
    <w:rsid w:val="33C341A1"/>
    <w:rsid w:val="343313EF"/>
    <w:rsid w:val="34E30FF8"/>
    <w:rsid w:val="3598548C"/>
    <w:rsid w:val="362E19ED"/>
    <w:rsid w:val="38477A29"/>
    <w:rsid w:val="38E2045E"/>
    <w:rsid w:val="38F92413"/>
    <w:rsid w:val="3A0C6125"/>
    <w:rsid w:val="3B522D42"/>
    <w:rsid w:val="3B581673"/>
    <w:rsid w:val="3B984165"/>
    <w:rsid w:val="3C1341E6"/>
    <w:rsid w:val="3D2E7F41"/>
    <w:rsid w:val="3D5F13DF"/>
    <w:rsid w:val="3D9F5C7F"/>
    <w:rsid w:val="3F8C69B3"/>
    <w:rsid w:val="403F29F9"/>
    <w:rsid w:val="4045536F"/>
    <w:rsid w:val="406B1E48"/>
    <w:rsid w:val="424E09CC"/>
    <w:rsid w:val="4287437F"/>
    <w:rsid w:val="43B15A7D"/>
    <w:rsid w:val="44F34016"/>
    <w:rsid w:val="45F811DF"/>
    <w:rsid w:val="46404CE5"/>
    <w:rsid w:val="48665371"/>
    <w:rsid w:val="49675177"/>
    <w:rsid w:val="49C5228A"/>
    <w:rsid w:val="49C82D31"/>
    <w:rsid w:val="4A9311B5"/>
    <w:rsid w:val="4AE5697A"/>
    <w:rsid w:val="4B2058B1"/>
    <w:rsid w:val="4B4A3121"/>
    <w:rsid w:val="4B8054E5"/>
    <w:rsid w:val="4BF21670"/>
    <w:rsid w:val="4CD10909"/>
    <w:rsid w:val="4CFA195C"/>
    <w:rsid w:val="4D413526"/>
    <w:rsid w:val="4D8A69A0"/>
    <w:rsid w:val="4D9724CF"/>
    <w:rsid w:val="4DB01F35"/>
    <w:rsid w:val="4FAE58AE"/>
    <w:rsid w:val="506063B0"/>
    <w:rsid w:val="50937C94"/>
    <w:rsid w:val="50C3182D"/>
    <w:rsid w:val="50C939BF"/>
    <w:rsid w:val="51644DBE"/>
    <w:rsid w:val="518A5FCF"/>
    <w:rsid w:val="525F5585"/>
    <w:rsid w:val="53746E0E"/>
    <w:rsid w:val="55322ADD"/>
    <w:rsid w:val="55D375E1"/>
    <w:rsid w:val="55EC5382"/>
    <w:rsid w:val="567C0974"/>
    <w:rsid w:val="57623B4D"/>
    <w:rsid w:val="579140D1"/>
    <w:rsid w:val="58846D32"/>
    <w:rsid w:val="591438A3"/>
    <w:rsid w:val="597B202F"/>
    <w:rsid w:val="5A054C64"/>
    <w:rsid w:val="5AE34FA5"/>
    <w:rsid w:val="5B5072E3"/>
    <w:rsid w:val="5B6C1A49"/>
    <w:rsid w:val="5BD85DD7"/>
    <w:rsid w:val="5C314C9D"/>
    <w:rsid w:val="5D641CA2"/>
    <w:rsid w:val="5DDD2297"/>
    <w:rsid w:val="5FB177E8"/>
    <w:rsid w:val="60AA12A8"/>
    <w:rsid w:val="60EF3EDC"/>
    <w:rsid w:val="61BA27D8"/>
    <w:rsid w:val="62620EA5"/>
    <w:rsid w:val="628E1C9B"/>
    <w:rsid w:val="63DC6A36"/>
    <w:rsid w:val="64B75ABF"/>
    <w:rsid w:val="65984BDE"/>
    <w:rsid w:val="65A716C6"/>
    <w:rsid w:val="660D477E"/>
    <w:rsid w:val="66140709"/>
    <w:rsid w:val="66DA2A9C"/>
    <w:rsid w:val="66E44404"/>
    <w:rsid w:val="68CD0F87"/>
    <w:rsid w:val="68CF0917"/>
    <w:rsid w:val="694C0663"/>
    <w:rsid w:val="694C2C2B"/>
    <w:rsid w:val="6A04258F"/>
    <w:rsid w:val="6AA87C08"/>
    <w:rsid w:val="6BF16DF6"/>
    <w:rsid w:val="6D1E383F"/>
    <w:rsid w:val="6D21334F"/>
    <w:rsid w:val="6DB868D5"/>
    <w:rsid w:val="6DD95D94"/>
    <w:rsid w:val="6E3F1A2D"/>
    <w:rsid w:val="6E8626DC"/>
    <w:rsid w:val="6EA53724"/>
    <w:rsid w:val="6EC604A2"/>
    <w:rsid w:val="6F257866"/>
    <w:rsid w:val="6F8C57B4"/>
    <w:rsid w:val="704213F0"/>
    <w:rsid w:val="71363BAA"/>
    <w:rsid w:val="72596368"/>
    <w:rsid w:val="72E176CB"/>
    <w:rsid w:val="74C21625"/>
    <w:rsid w:val="75267B11"/>
    <w:rsid w:val="765121C2"/>
    <w:rsid w:val="770E6AAE"/>
    <w:rsid w:val="771860A1"/>
    <w:rsid w:val="77FB40F3"/>
    <w:rsid w:val="78581143"/>
    <w:rsid w:val="7A7E03EF"/>
    <w:rsid w:val="7AB4735A"/>
    <w:rsid w:val="7BE60E47"/>
    <w:rsid w:val="7C400B1D"/>
    <w:rsid w:val="7CEB7749"/>
    <w:rsid w:val="7D472B43"/>
    <w:rsid w:val="7F1559B0"/>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1568</Words>
  <Characters>1712</Characters>
  <Lines>36</Lines>
  <Paragraphs>10</Paragraphs>
  <TotalTime>98</TotalTime>
  <ScaleCrop>false</ScaleCrop>
  <LinksUpToDate>false</LinksUpToDate>
  <CharactersWithSpaces>1789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2025-07-24T00:31:08Z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