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B008">
      <w:pPr>
        <w:pStyle w:val="3"/>
        <w:ind w:firstLine="3960" w:firstLineChars="900"/>
        <w:rPr>
          <w:rFonts w:hint="eastAsia"/>
          <w:kern w:val="2"/>
          <w:sz w:val="28"/>
          <w:szCs w:val="28"/>
          <w:highlight w:val="none"/>
          <w:u w:val="none"/>
        </w:rPr>
      </w:pPr>
      <w:bookmarkStart w:id="0" w:name="_Toc35393797"/>
      <w:bookmarkStart w:id="1" w:name="_Toc28359011"/>
      <w:bookmarkStart w:id="2" w:name="_Toc39926506"/>
      <w:r>
        <w:rPr>
          <w:rFonts w:hint="eastAsia"/>
          <w:highlight w:val="none"/>
          <w:u w:val="none"/>
        </w:rPr>
        <w:t xml:space="preserve"> 询价</w:t>
      </w:r>
      <w:bookmarkEnd w:id="0"/>
      <w:bookmarkEnd w:id="1"/>
      <w:r>
        <w:rPr>
          <w:rFonts w:hint="eastAsia"/>
          <w:highlight w:val="none"/>
          <w:u w:val="none"/>
        </w:rPr>
        <w:t>通知书</w:t>
      </w:r>
      <w:bookmarkStart w:id="3" w:name="_Toc35393629"/>
      <w:bookmarkStart w:id="4" w:name="_Toc28359089"/>
      <w:bookmarkStart w:id="5" w:name="_Toc28359012"/>
      <w:bookmarkStart w:id="6" w:name="_Toc35393798"/>
    </w:p>
    <w:p w14:paraId="01880AE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rPr>
        <w:t>溧水区人民医院</w:t>
      </w:r>
      <w:r>
        <w:rPr>
          <w:rFonts w:hint="eastAsia" w:asciiTheme="minorEastAsia" w:hAnsiTheme="minorEastAsia" w:eastAsiaTheme="minorEastAsia" w:cstheme="minorEastAsia"/>
          <w:sz w:val="24"/>
          <w:szCs w:val="24"/>
          <w:highlight w:val="none"/>
          <w:u w:val="none"/>
          <w:lang w:val="en-US" w:eastAsia="zh-CN"/>
        </w:rPr>
        <w:t>5部杂物梯电梯维保</w:t>
      </w:r>
      <w:r>
        <w:rPr>
          <w:rFonts w:hint="eastAsia" w:asciiTheme="minorEastAsia" w:hAnsiTheme="minorEastAsia" w:eastAsiaTheme="minorEastAsia" w:cstheme="minorEastAsia"/>
          <w:sz w:val="24"/>
          <w:szCs w:val="24"/>
          <w:highlight w:val="none"/>
          <w:u w:val="none"/>
        </w:rPr>
        <w:t>的潜在</w:t>
      </w:r>
      <w:r>
        <w:rPr>
          <w:rFonts w:hint="eastAsia" w:asciiTheme="minorEastAsia" w:hAnsiTheme="minorEastAsia" w:eastAsiaTheme="minorEastAsia" w:cstheme="minorEastAsia"/>
          <w:sz w:val="24"/>
          <w:szCs w:val="24"/>
          <w:highlight w:val="none"/>
          <w:u w:val="none"/>
          <w:lang w:eastAsia="zh-CN"/>
        </w:rPr>
        <w:t>服务商</w:t>
      </w:r>
      <w:r>
        <w:rPr>
          <w:rFonts w:hint="eastAsia" w:asciiTheme="minorEastAsia" w:hAnsiTheme="minorEastAsia" w:eastAsiaTheme="minorEastAsia" w:cstheme="minorEastAsia"/>
          <w:sz w:val="24"/>
          <w:szCs w:val="24"/>
          <w:highlight w:val="none"/>
          <w:u w:val="none"/>
        </w:rPr>
        <w:t>应在溧水区人民医院官网获取采购文件，并于202</w:t>
      </w:r>
      <w:r>
        <w:rPr>
          <w:rFonts w:hint="eastAsia" w:asciiTheme="minorEastAsia" w:hAnsiTheme="minorEastAsia" w:eastAsiaTheme="minorEastAsia" w:cstheme="minorEastAsia"/>
          <w:sz w:val="24"/>
          <w:szCs w:val="24"/>
          <w:highlight w:val="none"/>
          <w:u w:val="none"/>
          <w:lang w:val="en-US" w:eastAsia="zh-CN"/>
        </w:rPr>
        <w:t>5</w:t>
      </w:r>
      <w:r>
        <w:rPr>
          <w:rFonts w:hint="eastAsia" w:asciiTheme="minorEastAsia" w:hAnsiTheme="minorEastAsia" w:eastAsiaTheme="minorEastAsia" w:cstheme="minorEastAsia"/>
          <w:sz w:val="24"/>
          <w:szCs w:val="24"/>
          <w:highlight w:val="none"/>
          <w:u w:val="none"/>
        </w:rPr>
        <w:t>年</w:t>
      </w:r>
      <w:r>
        <w:rPr>
          <w:rFonts w:hint="eastAsia" w:asciiTheme="minorEastAsia" w:hAnsiTheme="minorEastAsia" w:eastAsiaTheme="minorEastAsia" w:cstheme="minorEastAsia"/>
          <w:sz w:val="24"/>
          <w:szCs w:val="24"/>
          <w:highlight w:val="none"/>
          <w:u w:val="none"/>
          <w:lang w:val="en-US" w:eastAsia="zh-CN"/>
        </w:rPr>
        <w:t>8</w:t>
      </w:r>
      <w:r>
        <w:rPr>
          <w:rFonts w:hint="eastAsia" w:asciiTheme="minorEastAsia" w:hAnsiTheme="minorEastAsia" w:eastAsiaTheme="minorEastAsia" w:cstheme="minorEastAsia"/>
          <w:sz w:val="24"/>
          <w:szCs w:val="24"/>
          <w:highlight w:val="none"/>
          <w:u w:val="none"/>
        </w:rPr>
        <w:t>月</w:t>
      </w:r>
      <w:r>
        <w:rPr>
          <w:rFonts w:hint="eastAsia" w:asciiTheme="minorEastAsia" w:hAnsiTheme="minorEastAsia" w:eastAsiaTheme="minorEastAsia" w:cstheme="minorEastAsia"/>
          <w:sz w:val="24"/>
          <w:szCs w:val="24"/>
          <w:highlight w:val="none"/>
          <w:u w:val="none"/>
          <w:lang w:val="en-US" w:eastAsia="zh-CN"/>
        </w:rPr>
        <w:t>7</w:t>
      </w:r>
      <w:r>
        <w:rPr>
          <w:rFonts w:hint="eastAsia" w:asciiTheme="minorEastAsia" w:hAnsiTheme="minorEastAsia" w:eastAsiaTheme="minorEastAsia" w:cstheme="minorEastAsia"/>
          <w:sz w:val="24"/>
          <w:szCs w:val="24"/>
          <w:highlight w:val="none"/>
          <w:u w:val="none"/>
        </w:rPr>
        <w:t>日</w:t>
      </w:r>
      <w:r>
        <w:rPr>
          <w:rFonts w:hint="eastAsia" w:asciiTheme="minorEastAsia" w:hAnsiTheme="minorEastAsia" w:eastAsiaTheme="minorEastAsia" w:cstheme="minorEastAsia"/>
          <w:sz w:val="24"/>
          <w:szCs w:val="24"/>
          <w:highlight w:val="none"/>
          <w:u w:val="none"/>
          <w:lang w:val="en-US" w:eastAsia="zh-CN"/>
        </w:rPr>
        <w:t>9</w:t>
      </w:r>
      <w:r>
        <w:rPr>
          <w:rFonts w:hint="eastAsia" w:asciiTheme="minorEastAsia" w:hAnsiTheme="minorEastAsia" w:eastAsiaTheme="minorEastAsia" w:cstheme="minorEastAsia"/>
          <w:sz w:val="24"/>
          <w:szCs w:val="24"/>
          <w:highlight w:val="none"/>
          <w:u w:val="none"/>
        </w:rPr>
        <w:t>点30分（北京时间）前提交响应文件。</w:t>
      </w:r>
    </w:p>
    <w:p w14:paraId="5B17449D">
      <w:pPr>
        <w:keepNext w:val="0"/>
        <w:keepLines w:val="0"/>
        <w:pageBreakBefore w:val="0"/>
        <w:widowControl w:val="0"/>
        <w:kinsoku/>
        <w:wordWrap/>
        <w:overflowPunct/>
        <w:topLinePunct w:val="0"/>
        <w:autoSpaceDE/>
        <w:autoSpaceDN/>
        <w:bidi w:val="0"/>
        <w:adjustRightInd/>
        <w:snapToGrid/>
        <w:spacing w:line="360" w:lineRule="exact"/>
        <w:ind w:firstLine="241" w:firstLineChars="100"/>
        <w:textAlignment w:val="auto"/>
        <w:rPr>
          <w:rFonts w:hint="eastAsia" w:asciiTheme="minorEastAsia" w:hAnsiTheme="minorEastAsia" w:eastAsiaTheme="minorEastAsia" w:cstheme="minorEastAsia"/>
          <w:sz w:val="24"/>
          <w:szCs w:val="24"/>
          <w:highlight w:val="none"/>
          <w:u w:val="none"/>
        </w:rPr>
      </w:pPr>
    </w:p>
    <w:p w14:paraId="26B02F2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rPr>
        <w:t>一、项目基本情况</w:t>
      </w:r>
      <w:bookmarkEnd w:id="3"/>
      <w:bookmarkEnd w:id="4"/>
      <w:bookmarkEnd w:id="5"/>
      <w:bookmarkEnd w:id="6"/>
      <w:bookmarkStart w:id="23" w:name="_GoBack"/>
      <w:bookmarkEnd w:id="23"/>
    </w:p>
    <w:p w14:paraId="789CF019">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color w:val="000000"/>
          <w:kern w:val="0"/>
          <w:sz w:val="24"/>
          <w:szCs w:val="24"/>
          <w:highlight w:val="none"/>
          <w:u w:val="none"/>
        </w:rPr>
        <w:t>项目编号：</w:t>
      </w:r>
      <w:r>
        <w:rPr>
          <w:rFonts w:hint="eastAsia" w:asciiTheme="minorEastAsia" w:hAnsiTheme="minorEastAsia" w:eastAsiaTheme="minorEastAsia" w:cstheme="minorEastAsia"/>
          <w:b w:val="0"/>
          <w:bCs w:val="0"/>
          <w:color w:val="000000"/>
          <w:kern w:val="0"/>
          <w:sz w:val="24"/>
          <w:szCs w:val="24"/>
          <w:highlight w:val="none"/>
          <w:u w:val="none"/>
        </w:rPr>
        <w:t>LSRY-ZB202</w:t>
      </w:r>
      <w:r>
        <w:rPr>
          <w:rFonts w:hint="eastAsia" w:asciiTheme="minorEastAsia" w:hAnsiTheme="minorEastAsia" w:eastAsiaTheme="minorEastAsia" w:cstheme="minorEastAsia"/>
          <w:b w:val="0"/>
          <w:bCs w:val="0"/>
          <w:color w:val="000000"/>
          <w:kern w:val="0"/>
          <w:sz w:val="24"/>
          <w:szCs w:val="24"/>
          <w:highlight w:val="none"/>
          <w:u w:val="none"/>
          <w:lang w:val="en-US" w:eastAsia="zh-CN"/>
        </w:rPr>
        <w:t>5</w:t>
      </w:r>
      <w:r>
        <w:rPr>
          <w:rFonts w:hint="eastAsia" w:asciiTheme="minorEastAsia" w:hAnsiTheme="minorEastAsia" w:eastAsiaTheme="minorEastAsia" w:cstheme="minorEastAsia"/>
          <w:b w:val="0"/>
          <w:bCs w:val="0"/>
          <w:color w:val="000000"/>
          <w:kern w:val="0"/>
          <w:sz w:val="24"/>
          <w:szCs w:val="24"/>
          <w:highlight w:val="none"/>
          <w:u w:val="none"/>
        </w:rPr>
        <w:t>-</w:t>
      </w:r>
      <w:r>
        <w:rPr>
          <w:rFonts w:hint="eastAsia" w:asciiTheme="minorEastAsia" w:hAnsiTheme="minorEastAsia" w:eastAsiaTheme="minorEastAsia" w:cstheme="minorEastAsia"/>
          <w:b w:val="0"/>
          <w:bCs w:val="0"/>
          <w:color w:val="000000"/>
          <w:kern w:val="0"/>
          <w:sz w:val="24"/>
          <w:szCs w:val="24"/>
          <w:highlight w:val="none"/>
          <w:u w:val="none"/>
          <w:lang w:val="en-US" w:eastAsia="zh-CN"/>
        </w:rPr>
        <w:t>Z012</w:t>
      </w:r>
    </w:p>
    <w:p w14:paraId="5CE14C9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color w:val="000000"/>
          <w:kern w:val="0"/>
          <w:sz w:val="24"/>
          <w:szCs w:val="24"/>
          <w:highlight w:val="none"/>
          <w:u w:val="none"/>
        </w:rPr>
        <w:t>项目名称：</w:t>
      </w:r>
      <w:r>
        <w:rPr>
          <w:rFonts w:hint="eastAsia" w:asciiTheme="minorEastAsia" w:hAnsiTheme="minorEastAsia" w:eastAsiaTheme="minorEastAsia" w:cstheme="minorEastAsia"/>
          <w:b w:val="0"/>
          <w:bCs w:val="0"/>
          <w:color w:val="000000"/>
          <w:kern w:val="0"/>
          <w:sz w:val="24"/>
          <w:szCs w:val="24"/>
          <w:highlight w:val="none"/>
          <w:u w:val="none"/>
        </w:rPr>
        <w:t>溧水区人民医院</w:t>
      </w:r>
      <w:r>
        <w:rPr>
          <w:rFonts w:hint="eastAsia" w:asciiTheme="minorEastAsia" w:hAnsiTheme="minorEastAsia" w:eastAsiaTheme="minorEastAsia" w:cstheme="minorEastAsia"/>
          <w:b w:val="0"/>
          <w:bCs w:val="0"/>
          <w:color w:val="000000"/>
          <w:kern w:val="0"/>
          <w:sz w:val="24"/>
          <w:szCs w:val="24"/>
          <w:highlight w:val="none"/>
          <w:u w:val="none"/>
          <w:lang w:val="en-US" w:eastAsia="zh-CN"/>
        </w:rPr>
        <w:t>5部杂物梯电梯维保</w:t>
      </w:r>
    </w:p>
    <w:p w14:paraId="4A43E4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color w:val="000000"/>
          <w:kern w:val="0"/>
          <w:sz w:val="24"/>
          <w:szCs w:val="24"/>
          <w:highlight w:val="none"/>
          <w:u w:val="none"/>
        </w:rPr>
        <w:t>采购方式：</w:t>
      </w:r>
      <w:r>
        <w:rPr>
          <w:rFonts w:hint="eastAsia" w:asciiTheme="minorEastAsia" w:hAnsiTheme="minorEastAsia" w:eastAsiaTheme="minorEastAsia" w:cstheme="minorEastAsia"/>
          <w:b w:val="0"/>
          <w:bCs w:val="0"/>
          <w:color w:val="000000"/>
          <w:kern w:val="0"/>
          <w:sz w:val="24"/>
          <w:szCs w:val="24"/>
          <w:highlight w:val="none"/>
          <w:u w:val="none"/>
        </w:rPr>
        <w:t>询价</w:t>
      </w:r>
    </w:p>
    <w:p w14:paraId="03947A8E">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rPr>
        <w:t>最</w:t>
      </w:r>
      <w:r>
        <w:rPr>
          <w:rFonts w:hint="eastAsia" w:asciiTheme="minorEastAsia" w:hAnsiTheme="minorEastAsia" w:eastAsiaTheme="minorEastAsia" w:cstheme="minorEastAsia"/>
          <w:b/>
          <w:bCs/>
          <w:color w:val="000000"/>
          <w:kern w:val="0"/>
          <w:sz w:val="24"/>
          <w:szCs w:val="24"/>
          <w:highlight w:val="none"/>
          <w:u w:val="none"/>
          <w:lang w:val="en-US" w:eastAsia="zh-CN"/>
        </w:rPr>
        <w:t>高</w:t>
      </w:r>
      <w:r>
        <w:rPr>
          <w:rFonts w:hint="eastAsia" w:asciiTheme="minorEastAsia" w:hAnsiTheme="minorEastAsia" w:eastAsiaTheme="minorEastAsia" w:cstheme="minorEastAsia"/>
          <w:b/>
          <w:bCs/>
          <w:color w:val="000000"/>
          <w:kern w:val="0"/>
          <w:sz w:val="24"/>
          <w:szCs w:val="24"/>
          <w:highlight w:val="none"/>
          <w:u w:val="none"/>
        </w:rPr>
        <w:t>限价：</w:t>
      </w:r>
      <w:bookmarkStart w:id="7" w:name="_Toc35393799"/>
      <w:bookmarkStart w:id="8" w:name="_Toc35393630"/>
      <w:bookmarkStart w:id="9" w:name="_Toc28359090"/>
      <w:bookmarkStart w:id="10" w:name="_Toc28359013"/>
      <w:r>
        <w:rPr>
          <w:rFonts w:hint="eastAsia" w:asciiTheme="minorEastAsia" w:hAnsiTheme="minorEastAsia" w:eastAsiaTheme="minorEastAsia" w:cstheme="minorEastAsia"/>
          <w:b/>
          <w:bCs/>
          <w:color w:val="000000"/>
          <w:kern w:val="0"/>
          <w:sz w:val="24"/>
          <w:szCs w:val="24"/>
          <w:highlight w:val="none"/>
          <w:u w:val="none"/>
          <w:lang w:val="en-US" w:eastAsia="zh-CN"/>
        </w:rPr>
        <w:t>1.5万/年</w:t>
      </w:r>
      <w:r>
        <w:rPr>
          <w:rFonts w:hint="eastAsia"/>
          <w:sz w:val="24"/>
          <w:highlight w:val="none"/>
          <w:lang w:val="en-US" w:eastAsia="zh-CN"/>
        </w:rPr>
        <w:t>（含维保费、电梯年检费、限速器检测费、保险费、人工费等）</w:t>
      </w:r>
    </w:p>
    <w:p w14:paraId="58110EC0">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服务期限：</w:t>
      </w:r>
      <w:r>
        <w:rPr>
          <w:rFonts w:hint="eastAsia" w:asciiTheme="minorEastAsia" w:hAnsiTheme="minorEastAsia" w:eastAsiaTheme="minorEastAsia" w:cstheme="minorEastAsia"/>
          <w:color w:val="000000"/>
          <w:kern w:val="0"/>
          <w:sz w:val="24"/>
          <w:szCs w:val="24"/>
          <w:highlight w:val="none"/>
          <w:u w:val="none"/>
          <w:lang w:val="en-US" w:eastAsia="zh-CN"/>
        </w:rPr>
        <w:t>一招三年，合同一年一签</w:t>
      </w:r>
    </w:p>
    <w:p w14:paraId="3B7E8B4E">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heme="minorEastAsia" w:hAnsiTheme="minorEastAsia" w:eastAsiaTheme="minorEastAsia" w:cstheme="minorEastAsia"/>
          <w:b/>
          <w:bCs/>
          <w:color w:val="000000"/>
          <w:kern w:val="0"/>
          <w:sz w:val="24"/>
          <w:szCs w:val="24"/>
          <w:highlight w:val="none"/>
          <w:u w:val="none"/>
          <w:lang w:val="en-US" w:eastAsia="zh-CN"/>
        </w:rPr>
      </w:pPr>
    </w:p>
    <w:p w14:paraId="155CA45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eastAsia="zh-CN"/>
        </w:rPr>
        <w:t>二</w:t>
      </w:r>
      <w:r>
        <w:rPr>
          <w:rFonts w:hint="eastAsia" w:asciiTheme="minorEastAsia" w:hAnsiTheme="minorEastAsia" w:eastAsiaTheme="minorEastAsia" w:cstheme="minorEastAsia"/>
          <w:sz w:val="24"/>
          <w:szCs w:val="24"/>
          <w:highlight w:val="none"/>
          <w:u w:val="none"/>
        </w:rPr>
        <w:t>、投标人资格要求</w:t>
      </w:r>
      <w:bookmarkEnd w:id="7"/>
      <w:bookmarkEnd w:id="8"/>
      <w:bookmarkEnd w:id="9"/>
      <w:bookmarkEnd w:id="10"/>
    </w:p>
    <w:bookmarkEnd w:id="2"/>
    <w:p w14:paraId="1FDCC41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bookmarkStart w:id="11" w:name="_Toc28359092"/>
      <w:bookmarkStart w:id="12" w:name="_Toc28359015"/>
      <w:bookmarkStart w:id="13" w:name="_Toc35393632"/>
      <w:bookmarkStart w:id="14" w:name="_Toc35393801"/>
      <w:r>
        <w:rPr>
          <w:rFonts w:hint="eastAsia" w:asciiTheme="minorEastAsia" w:hAnsiTheme="minorEastAsia" w:eastAsiaTheme="minorEastAsia" w:cstheme="minorEastAsia"/>
          <w:b w:val="0"/>
          <w:bCs w:val="0"/>
          <w:color w:val="000000"/>
          <w:kern w:val="0"/>
          <w:sz w:val="24"/>
          <w:szCs w:val="24"/>
          <w:highlight w:val="none"/>
          <w:u w:val="none"/>
        </w:rPr>
        <w:t>（1）具有独立承担民事责任的能力（提供法人或者其他组织的营业执照，自然人的身份证）；</w:t>
      </w:r>
    </w:p>
    <w:p w14:paraId="43C44F6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（2）具有良好的商业信誉和健全的财务会计制度（提供参加本次政府采购活动前上一年度的会计报表）</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p w14:paraId="20ED255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（3）具有履行合同所必需的设备和专业技术能力（根据项目需求提供履行合同所必需的设备和专业技术能力的声明及证明材料）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p>
    <w:p w14:paraId="73DC0AE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（4）有依法缴纳税收和社会保障资金的良好记录（提供参加本次政府采购活动前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一年内（任意一个月）依法缴纳税收和社会保障资金的相关材料）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p w14:paraId="33CEBC2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b w:val="0"/>
          <w:bCs w:val="0"/>
          <w:color w:val="000000"/>
          <w:kern w:val="0"/>
          <w:sz w:val="24"/>
          <w:szCs w:val="24"/>
          <w:highlight w:val="none"/>
          <w:u w:val="none"/>
        </w:rPr>
        <w:t>（5）参加采购活动前三年内，在经营活动中没有重大违法记录（提供参加本次采购活动前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3年内在经营活动中没有重大违法记录的书面声明）；</w:t>
      </w:r>
    </w:p>
    <w:p w14:paraId="5517ED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bCs/>
          <w:color w:val="000000"/>
          <w:kern w:val="0"/>
          <w:sz w:val="24"/>
          <w:szCs w:val="24"/>
          <w:highlight w:val="none"/>
          <w:u w:val="single"/>
          <w:lang w:val="en-US" w:eastAsia="zh-CN"/>
        </w:rPr>
      </w:pPr>
      <w:r>
        <w:rPr>
          <w:rFonts w:hint="eastAsia" w:asciiTheme="minorEastAsia" w:hAnsiTheme="minorEastAsia" w:eastAsiaTheme="minorEastAsia" w:cstheme="minorEastAsia"/>
          <w:b/>
          <w:bCs/>
          <w:color w:val="000000"/>
          <w:kern w:val="0"/>
          <w:sz w:val="24"/>
          <w:szCs w:val="24"/>
          <w:highlight w:val="none"/>
          <w:u w:val="single"/>
          <w:lang w:val="en-US" w:eastAsia="zh-CN"/>
        </w:rPr>
        <w:t>本项目特定的资质要求：</w:t>
      </w:r>
    </w:p>
    <w:p w14:paraId="4D35D8D2">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Theme="minorEastAsia" w:hAnsiTheme="minorEastAsia" w:eastAsiaTheme="minorEastAsia" w:cstheme="minorEastAsia"/>
          <w:b/>
          <w:bCs/>
          <w:color w:val="000000"/>
          <w:kern w:val="0"/>
          <w:sz w:val="24"/>
          <w:szCs w:val="24"/>
          <w:highlight w:val="none"/>
          <w:u w:val="single"/>
        </w:rPr>
      </w:pPr>
      <w:r>
        <w:rPr>
          <w:rFonts w:hint="eastAsia" w:asciiTheme="minorEastAsia" w:hAnsiTheme="minorEastAsia" w:eastAsiaTheme="minorEastAsia" w:cstheme="minorEastAsia"/>
          <w:b/>
          <w:bCs/>
          <w:color w:val="000000"/>
          <w:kern w:val="0"/>
          <w:sz w:val="24"/>
          <w:szCs w:val="24"/>
          <w:highlight w:val="none"/>
          <w:u w:val="single"/>
          <w:lang w:val="en-US"/>
        </w:rPr>
        <w:t xml:space="preserve">1 </w:t>
      </w:r>
      <w:r>
        <w:rPr>
          <w:rFonts w:hint="eastAsia" w:asciiTheme="minorEastAsia" w:hAnsiTheme="minorEastAsia" w:eastAsiaTheme="minorEastAsia" w:cstheme="minorEastAsia"/>
          <w:b/>
          <w:bCs/>
          <w:color w:val="000000"/>
          <w:kern w:val="0"/>
          <w:sz w:val="24"/>
          <w:szCs w:val="24"/>
          <w:highlight w:val="none"/>
          <w:u w:val="single"/>
        </w:rPr>
        <w:t>投标服务商须具有有效期内含有曳引驱动乘客电梯安装修理项目许可的《特种设备生产许可证》或有效期内的《特种设备（电梯）安装维修许可证》B级及以上资质 （提供有效的证明材料并加盖公章，原件备查）</w:t>
      </w:r>
    </w:p>
    <w:p w14:paraId="447A0F21">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heme="minorEastAsia" w:hAnsiTheme="minorEastAsia" w:eastAsiaTheme="minorEastAsia" w:cstheme="minorEastAsia"/>
          <w:b/>
          <w:bCs/>
          <w:color w:val="000000"/>
          <w:kern w:val="0"/>
          <w:sz w:val="24"/>
          <w:szCs w:val="24"/>
          <w:highlight w:val="none"/>
          <w:u w:val="single"/>
          <w:lang w:val="en-US"/>
        </w:rPr>
      </w:pPr>
      <w:r>
        <w:rPr>
          <w:rFonts w:hint="eastAsia" w:asciiTheme="minorEastAsia" w:hAnsiTheme="minorEastAsia" w:eastAsiaTheme="minorEastAsia" w:cstheme="minorEastAsia"/>
          <w:b/>
          <w:bCs/>
          <w:color w:val="000000"/>
          <w:kern w:val="0"/>
          <w:sz w:val="24"/>
          <w:szCs w:val="24"/>
          <w:highlight w:val="none"/>
          <w:u w:val="single"/>
          <w:lang w:val="en-US"/>
        </w:rPr>
        <w:t>2 电梯维保人员需具有电梯维修方面专业技术资格证书并持证上岗。</w:t>
      </w:r>
    </w:p>
    <w:p w14:paraId="66486D1D">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sz w:val="24"/>
          <w:szCs w:val="24"/>
          <w:highlight w:val="none"/>
          <w:lang w:val="en-US" w:eastAsia="zh-CN"/>
        </w:rPr>
      </w:pPr>
    </w:p>
    <w:p w14:paraId="2E9988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zh-CN"/>
        </w:rPr>
      </w:pPr>
      <w:r>
        <w:rPr>
          <w:rFonts w:hint="eastAsia" w:asciiTheme="minorEastAsia" w:hAnsiTheme="minorEastAsia" w:eastAsiaTheme="minorEastAsia" w:cstheme="minorEastAsia"/>
          <w:b/>
          <w:bCs/>
          <w:sz w:val="24"/>
          <w:szCs w:val="24"/>
          <w:highlight w:val="none"/>
          <w:u w:val="none"/>
          <w:lang w:val="zh-CN"/>
        </w:rPr>
        <w:t>下列供应商不得参加本次采购活动：</w:t>
      </w:r>
    </w:p>
    <w:p w14:paraId="1A59C8D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（1）供应商单位负责人为同一人或者存在直接控股、管理关系的不同供应商，不得参加同一合同项下的政府采购活动。</w:t>
      </w:r>
    </w:p>
    <w:p w14:paraId="7C16D9F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（2）凡为采购项目提供整体设计、规范编制或者项目管理、监理、</w:t>
      </w:r>
      <w:r>
        <w:rPr>
          <w:rFonts w:hint="eastAsia" w:asciiTheme="minorEastAsia" w:hAnsiTheme="minorEastAsia" w:eastAsiaTheme="minorEastAsia" w:cstheme="minorEastAsia"/>
          <w:b w:val="0"/>
          <w:bCs w:val="0"/>
          <w:sz w:val="24"/>
          <w:szCs w:val="24"/>
          <w:highlight w:val="none"/>
          <w:u w:val="none"/>
          <w:lang w:eastAsia="zh-CN"/>
        </w:rPr>
        <w:t>监测</w:t>
      </w:r>
      <w:r>
        <w:rPr>
          <w:rFonts w:hint="eastAsia" w:asciiTheme="minorEastAsia" w:hAnsiTheme="minorEastAsia" w:eastAsiaTheme="minorEastAsia" w:cstheme="minorEastAsia"/>
          <w:b w:val="0"/>
          <w:bCs w:val="0"/>
          <w:sz w:val="24"/>
          <w:szCs w:val="24"/>
          <w:highlight w:val="none"/>
          <w:u w:val="none"/>
        </w:rPr>
        <w:t>等服务的供应商，不得再参加本项目的采购活动。</w:t>
      </w:r>
    </w:p>
    <w:p w14:paraId="163434D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sz w:val="24"/>
          <w:szCs w:val="24"/>
          <w:highlight w:val="none"/>
          <w:u w:val="none"/>
        </w:rPr>
        <w:t>（3）供应商被“信用中国”网站（www.creditchina.gov.cn）、“中国政府采购网”(www.ccgp.gov.cn)列入失信被执行人、重大税收违法案件当事人名单、政府采购严重违法失信行为记录名单。</w:t>
      </w:r>
    </w:p>
    <w:p w14:paraId="6D22913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sz w:val="24"/>
          <w:szCs w:val="24"/>
          <w:highlight w:val="none"/>
          <w:u w:val="none"/>
          <w:lang w:eastAsia="zh-CN"/>
        </w:rPr>
      </w:pPr>
    </w:p>
    <w:p w14:paraId="0021C19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三</w:t>
      </w:r>
      <w:r>
        <w:rPr>
          <w:rFonts w:hint="eastAsia" w:asciiTheme="minorEastAsia" w:hAnsiTheme="minorEastAsia" w:eastAsiaTheme="minorEastAsia" w:cstheme="minorEastAsia"/>
          <w:sz w:val="24"/>
          <w:szCs w:val="24"/>
          <w:highlight w:val="none"/>
          <w:u w:val="none"/>
        </w:rPr>
        <w:t>、报名事宜</w:t>
      </w:r>
    </w:p>
    <w:p w14:paraId="2A0C311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请在</w:t>
      </w:r>
      <w:r>
        <w:rPr>
          <w:rFonts w:hint="eastAsia" w:asciiTheme="minorEastAsia" w:hAnsiTheme="minorEastAsia" w:eastAsiaTheme="minorEastAsia" w:cstheme="minorEastAsia"/>
          <w:sz w:val="24"/>
          <w:szCs w:val="24"/>
          <w:highlight w:val="none"/>
        </w:rPr>
        <w:t>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日-202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日</w:t>
      </w:r>
      <w:r>
        <w:rPr>
          <w:rFonts w:hint="eastAsia" w:asciiTheme="minorEastAsia" w:hAnsiTheme="minorEastAsia" w:eastAsiaTheme="minorEastAsia" w:cstheme="minorEastAsia"/>
          <w:sz w:val="24"/>
          <w:szCs w:val="24"/>
          <w:highlight w:val="none"/>
          <w:lang w:val="en-US" w:eastAsia="zh-CN"/>
        </w:rPr>
        <w:t>17:30</w:t>
      </w:r>
      <w:r>
        <w:rPr>
          <w:rFonts w:hint="eastAsia" w:asciiTheme="minorEastAsia" w:hAnsiTheme="minorEastAsia" w:eastAsiaTheme="minorEastAsia" w:cstheme="minorEastAsia"/>
          <w:b w:val="0"/>
          <w:bCs w:val="0"/>
          <w:sz w:val="24"/>
          <w:szCs w:val="24"/>
          <w:highlight w:val="none"/>
          <w:u w:val="none"/>
        </w:rPr>
        <w:t>前，将符合采购文件要求的资格证明文件以Word或PDF电子文档形式发送至</w:t>
      </w:r>
      <w:r>
        <w:rPr>
          <w:rFonts w:hint="eastAsia" w:asciiTheme="minorEastAsia" w:hAnsiTheme="minorEastAsia" w:eastAsiaTheme="minorEastAsia" w:cstheme="minorEastAsia"/>
          <w:b w:val="0"/>
          <w:bCs w:val="0"/>
          <w:sz w:val="24"/>
          <w:szCs w:val="24"/>
          <w:highlight w:val="none"/>
        </w:rPr>
        <w:t>168673332@qq.com</w:t>
      </w:r>
      <w:r>
        <w:rPr>
          <w:rFonts w:hint="eastAsia" w:asciiTheme="minorEastAsia" w:hAnsiTheme="minorEastAsia" w:eastAsiaTheme="minorEastAsia" w:cstheme="minorEastAsia"/>
          <w:b w:val="0"/>
          <w:bCs w:val="0"/>
          <w:sz w:val="24"/>
          <w:szCs w:val="24"/>
          <w:highlight w:val="none"/>
          <w:u w:val="none"/>
        </w:rPr>
        <w:t>完成报名，邮件名称及报名文件均命名为“项目名称+</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名称+联系电话”。</w:t>
      </w:r>
    </w:p>
    <w:bookmarkEnd w:id="11"/>
    <w:bookmarkEnd w:id="12"/>
    <w:bookmarkEnd w:id="13"/>
    <w:bookmarkEnd w:id="14"/>
    <w:p w14:paraId="25C778C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70726C0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四</w:t>
      </w:r>
      <w:r>
        <w:rPr>
          <w:rFonts w:hint="eastAsia" w:asciiTheme="minorEastAsia" w:hAnsiTheme="minorEastAsia" w:eastAsiaTheme="minorEastAsia" w:cstheme="minorEastAsia"/>
          <w:sz w:val="24"/>
          <w:szCs w:val="24"/>
          <w:highlight w:val="none"/>
          <w:u w:val="none"/>
        </w:rPr>
        <w:t>、</w:t>
      </w:r>
      <w:r>
        <w:rPr>
          <w:rFonts w:hint="eastAsia" w:asciiTheme="minorEastAsia" w:hAnsiTheme="minorEastAsia" w:eastAsiaTheme="minorEastAsia" w:cstheme="minorEastAsia"/>
          <w:sz w:val="24"/>
          <w:szCs w:val="24"/>
          <w:highlight w:val="none"/>
          <w:u w:val="none"/>
          <w:lang w:val="zh-CN"/>
        </w:rPr>
        <w:t>出现下列情形之一的响应文件按照无效处理：</w:t>
      </w:r>
      <w:r>
        <w:rPr>
          <w:rFonts w:hint="eastAsia" w:asciiTheme="minorEastAsia" w:hAnsiTheme="minorEastAsia" w:eastAsiaTheme="minorEastAsia" w:cstheme="minorEastAsia"/>
          <w:b w:val="0"/>
          <w:bCs w:val="0"/>
          <w:sz w:val="24"/>
          <w:szCs w:val="24"/>
          <w:highlight w:val="none"/>
          <w:u w:val="none"/>
        </w:rPr>
        <w:t>（1）不具备询价文件中规定资格条件的；（2）未实质性响应询价文件要求的；（3）不符合法律、法规和采购文件规定的其他实质性要求的；（4）投标资料未密封。</w:t>
      </w:r>
    </w:p>
    <w:p w14:paraId="70A6FF5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zh-CN"/>
        </w:rPr>
      </w:pPr>
      <w:r>
        <w:rPr>
          <w:rFonts w:hint="eastAsia" w:asciiTheme="minorEastAsia" w:hAnsiTheme="minorEastAsia" w:eastAsiaTheme="minorEastAsia" w:cstheme="minorEastAsia"/>
          <w:b w:val="0"/>
          <w:bCs w:val="0"/>
          <w:sz w:val="24"/>
          <w:szCs w:val="24"/>
          <w:highlight w:val="none"/>
          <w:u w:val="none"/>
        </w:rPr>
        <w:t>出现下列情形之一的，询价终止：</w:t>
      </w:r>
      <w:r>
        <w:rPr>
          <w:rFonts w:hint="eastAsia" w:asciiTheme="minorEastAsia" w:hAnsiTheme="minorEastAsia" w:eastAsiaTheme="minorEastAsia" w:cstheme="minorEastAsia"/>
          <w:b w:val="0"/>
          <w:bCs w:val="0"/>
          <w:sz w:val="24"/>
          <w:szCs w:val="24"/>
          <w:highlight w:val="none"/>
          <w:u w:val="none"/>
          <w:lang w:val="zh-CN"/>
        </w:rPr>
        <w:t>（1）所有服务商的响应文件被询价小组认定为无效的；（</w:t>
      </w:r>
      <w:r>
        <w:rPr>
          <w:rFonts w:hint="eastAsia" w:asciiTheme="minorEastAsia" w:hAnsiTheme="minorEastAsia" w:eastAsiaTheme="minorEastAsia" w:cstheme="minorEastAsia"/>
          <w:b w:val="0"/>
          <w:bCs w:val="0"/>
          <w:sz w:val="24"/>
          <w:szCs w:val="24"/>
          <w:highlight w:val="none"/>
          <w:u w:val="none"/>
        </w:rPr>
        <w:t>2</w:t>
      </w:r>
      <w:r>
        <w:rPr>
          <w:rFonts w:hint="eastAsia" w:asciiTheme="minorEastAsia" w:hAnsiTheme="minorEastAsia" w:eastAsiaTheme="minorEastAsia" w:cstheme="minorEastAsia"/>
          <w:b w:val="0"/>
          <w:bCs w:val="0"/>
          <w:sz w:val="24"/>
          <w:szCs w:val="24"/>
          <w:highlight w:val="none"/>
          <w:u w:val="none"/>
          <w:lang w:val="zh-CN"/>
        </w:rPr>
        <w:t>）出现影响采购公正的违法、违规行为的；（</w:t>
      </w:r>
      <w:r>
        <w:rPr>
          <w:rFonts w:hint="eastAsia" w:asciiTheme="minorEastAsia" w:hAnsiTheme="minorEastAsia" w:eastAsiaTheme="minorEastAsia" w:cstheme="minorEastAsia"/>
          <w:b w:val="0"/>
          <w:bCs w:val="0"/>
          <w:sz w:val="24"/>
          <w:szCs w:val="24"/>
          <w:highlight w:val="none"/>
          <w:u w:val="none"/>
        </w:rPr>
        <w:t>3</w:t>
      </w:r>
      <w:r>
        <w:rPr>
          <w:rFonts w:hint="eastAsia" w:asciiTheme="minorEastAsia" w:hAnsiTheme="minorEastAsia" w:eastAsiaTheme="minorEastAsia" w:cstheme="minorEastAsia"/>
          <w:b w:val="0"/>
          <w:bCs w:val="0"/>
          <w:sz w:val="24"/>
          <w:szCs w:val="24"/>
          <w:highlight w:val="none"/>
          <w:u w:val="none"/>
          <w:lang w:val="zh-CN"/>
        </w:rPr>
        <w:t>）服务商的最终报价超过采购预算的；（</w:t>
      </w:r>
      <w:r>
        <w:rPr>
          <w:rFonts w:hint="eastAsia" w:asciiTheme="minorEastAsia" w:hAnsiTheme="minorEastAsia" w:eastAsiaTheme="minorEastAsia" w:cstheme="minorEastAsia"/>
          <w:b w:val="0"/>
          <w:bCs w:val="0"/>
          <w:sz w:val="24"/>
          <w:szCs w:val="24"/>
          <w:highlight w:val="none"/>
          <w:u w:val="none"/>
        </w:rPr>
        <w:t>4</w:t>
      </w:r>
      <w:r>
        <w:rPr>
          <w:rFonts w:hint="eastAsia" w:asciiTheme="minorEastAsia" w:hAnsiTheme="minorEastAsia" w:eastAsiaTheme="minorEastAsia" w:cstheme="minorEastAsia"/>
          <w:b w:val="0"/>
          <w:bCs w:val="0"/>
          <w:sz w:val="24"/>
          <w:szCs w:val="24"/>
          <w:highlight w:val="none"/>
          <w:u w:val="none"/>
          <w:lang w:val="zh-CN"/>
        </w:rPr>
        <w:t>）因重大变故，采购任务取消的。</w:t>
      </w:r>
    </w:p>
    <w:p w14:paraId="519D97D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25D830F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五</w:t>
      </w:r>
      <w:r>
        <w:rPr>
          <w:rFonts w:hint="eastAsia" w:asciiTheme="minorEastAsia" w:hAnsiTheme="minorEastAsia" w:eastAsiaTheme="minorEastAsia" w:cstheme="minorEastAsia"/>
          <w:sz w:val="24"/>
          <w:szCs w:val="24"/>
          <w:highlight w:val="none"/>
          <w:u w:val="none"/>
        </w:rPr>
        <w:t>、响应文件接收截止时间</w:t>
      </w:r>
      <w:r>
        <w:rPr>
          <w:rFonts w:hint="eastAsia" w:asciiTheme="minorEastAsia" w:hAnsiTheme="minorEastAsia" w:eastAsiaTheme="minorEastAsia" w:cstheme="minorEastAsia"/>
          <w:sz w:val="24"/>
          <w:szCs w:val="24"/>
          <w:highlight w:val="none"/>
          <w:u w:val="none"/>
          <w:lang w:eastAsia="zh-CN"/>
        </w:rPr>
        <w:t>、</w:t>
      </w:r>
      <w:r>
        <w:rPr>
          <w:rFonts w:hint="eastAsia" w:asciiTheme="minorEastAsia" w:hAnsiTheme="minorEastAsia" w:eastAsiaTheme="minorEastAsia" w:cstheme="minorEastAsia"/>
          <w:sz w:val="24"/>
          <w:szCs w:val="24"/>
          <w:highlight w:val="none"/>
          <w:u w:val="none"/>
        </w:rPr>
        <w:t>开（评）标时间及地点</w:t>
      </w:r>
    </w:p>
    <w:p w14:paraId="71DA226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响应文件接收截止时间</w:t>
      </w:r>
      <w:r>
        <w:rPr>
          <w:rFonts w:hint="eastAsia" w:asciiTheme="minorEastAsia" w:hAnsiTheme="minorEastAsia" w:eastAsiaTheme="minorEastAsia" w:cstheme="minorEastAsia"/>
          <w:b w:val="0"/>
          <w:bCs w:val="0"/>
          <w:sz w:val="24"/>
          <w:szCs w:val="24"/>
          <w:highlight w:val="none"/>
          <w:u w:val="none"/>
          <w:lang w:eastAsia="zh-CN"/>
        </w:rPr>
        <w:t>及</w:t>
      </w:r>
      <w:r>
        <w:rPr>
          <w:rFonts w:hint="eastAsia" w:asciiTheme="minorEastAsia" w:hAnsiTheme="minorEastAsia" w:eastAsiaTheme="minorEastAsia" w:cstheme="minorEastAsia"/>
          <w:b w:val="0"/>
          <w:bCs w:val="0"/>
          <w:sz w:val="24"/>
          <w:szCs w:val="24"/>
          <w:highlight w:val="none"/>
          <w:u w:val="none"/>
        </w:rPr>
        <w:t>开标时间：202</w:t>
      </w:r>
      <w:r>
        <w:rPr>
          <w:rFonts w:hint="eastAsia" w:asciiTheme="minorEastAsia" w:hAnsiTheme="minorEastAsia" w:eastAsiaTheme="minorEastAsia" w:cstheme="minorEastAsia"/>
          <w:b w:val="0"/>
          <w:bCs w:val="0"/>
          <w:sz w:val="24"/>
          <w:szCs w:val="24"/>
          <w:highlight w:val="none"/>
          <w:u w:val="none"/>
          <w:lang w:val="en-US" w:eastAsia="zh-CN"/>
        </w:rPr>
        <w:t>5</w:t>
      </w:r>
      <w:r>
        <w:rPr>
          <w:rFonts w:hint="eastAsia" w:asciiTheme="minorEastAsia" w:hAnsiTheme="minorEastAsia" w:eastAsiaTheme="minorEastAsia" w:cstheme="minorEastAsia"/>
          <w:b w:val="0"/>
          <w:bCs w:val="0"/>
          <w:sz w:val="24"/>
          <w:szCs w:val="24"/>
          <w:highlight w:val="none"/>
          <w:u w:val="none"/>
        </w:rPr>
        <w:t>年</w:t>
      </w:r>
      <w:r>
        <w:rPr>
          <w:rFonts w:hint="eastAsia" w:asciiTheme="minorEastAsia" w:hAnsiTheme="minorEastAsia" w:eastAsiaTheme="minorEastAsia" w:cstheme="minorEastAsia"/>
          <w:b w:val="0"/>
          <w:bCs w:val="0"/>
          <w:sz w:val="24"/>
          <w:szCs w:val="24"/>
          <w:highlight w:val="none"/>
          <w:u w:val="none"/>
          <w:lang w:val="en-US" w:eastAsia="zh-CN"/>
        </w:rPr>
        <w:t>8</w:t>
      </w:r>
      <w:r>
        <w:rPr>
          <w:rFonts w:hint="eastAsia" w:asciiTheme="minorEastAsia" w:hAnsiTheme="minorEastAsia" w:eastAsiaTheme="minorEastAsia" w:cstheme="minorEastAsia"/>
          <w:b w:val="0"/>
          <w:bCs w:val="0"/>
          <w:sz w:val="24"/>
          <w:szCs w:val="24"/>
          <w:highlight w:val="none"/>
          <w:u w:val="none"/>
        </w:rPr>
        <w:t>月</w:t>
      </w:r>
      <w:r>
        <w:rPr>
          <w:rFonts w:hint="eastAsia" w:asciiTheme="minorEastAsia" w:hAnsiTheme="minorEastAsia" w:eastAsiaTheme="minorEastAsia" w:cstheme="minorEastAsia"/>
          <w:b w:val="0"/>
          <w:bCs w:val="0"/>
          <w:sz w:val="24"/>
          <w:szCs w:val="24"/>
          <w:highlight w:val="none"/>
          <w:u w:val="none"/>
          <w:lang w:val="en-US" w:eastAsia="zh-CN"/>
        </w:rPr>
        <w:t>7</w:t>
      </w:r>
      <w:r>
        <w:rPr>
          <w:rFonts w:hint="eastAsia" w:asciiTheme="minorEastAsia" w:hAnsiTheme="minorEastAsia" w:eastAsiaTheme="minorEastAsia" w:cstheme="minorEastAsia"/>
          <w:b w:val="0"/>
          <w:bCs w:val="0"/>
          <w:sz w:val="24"/>
          <w:szCs w:val="24"/>
          <w:highlight w:val="none"/>
          <w:u w:val="none"/>
        </w:rPr>
        <w:t>日</w:t>
      </w:r>
      <w:r>
        <w:rPr>
          <w:rFonts w:hint="eastAsia" w:asciiTheme="minorEastAsia" w:hAnsiTheme="minorEastAsia" w:eastAsiaTheme="minorEastAsia" w:cstheme="minorEastAsia"/>
          <w:b w:val="0"/>
          <w:bCs w:val="0"/>
          <w:sz w:val="24"/>
          <w:szCs w:val="24"/>
          <w:highlight w:val="none"/>
          <w:u w:val="none"/>
          <w:lang w:val="en-US" w:eastAsia="zh-CN"/>
        </w:rPr>
        <w:t>9</w:t>
      </w:r>
      <w:r>
        <w:rPr>
          <w:rFonts w:hint="eastAsia" w:asciiTheme="minorEastAsia" w:hAnsiTheme="minorEastAsia" w:eastAsiaTheme="minorEastAsia" w:cstheme="minorEastAsia"/>
          <w:b w:val="0"/>
          <w:bCs w:val="0"/>
          <w:sz w:val="24"/>
          <w:szCs w:val="24"/>
          <w:highlight w:val="none"/>
          <w:u w:val="none"/>
        </w:rPr>
        <w:t>点</w:t>
      </w:r>
      <w:r>
        <w:rPr>
          <w:rFonts w:hint="eastAsia" w:asciiTheme="minorEastAsia" w:hAnsiTheme="minorEastAsia" w:eastAsiaTheme="minorEastAsia" w:cstheme="minorEastAsia"/>
          <w:b w:val="0"/>
          <w:bCs w:val="0"/>
          <w:sz w:val="24"/>
          <w:szCs w:val="24"/>
          <w:highlight w:val="none"/>
          <w:u w:val="none"/>
          <w:lang w:val="en-US" w:eastAsia="zh-CN"/>
        </w:rPr>
        <w:t>30</w:t>
      </w:r>
      <w:r>
        <w:rPr>
          <w:rFonts w:hint="eastAsia" w:asciiTheme="minorEastAsia" w:hAnsiTheme="minorEastAsia" w:eastAsiaTheme="minorEastAsia" w:cstheme="minorEastAsia"/>
          <w:b w:val="0"/>
          <w:bCs w:val="0"/>
          <w:sz w:val="24"/>
          <w:szCs w:val="24"/>
          <w:highlight w:val="none"/>
          <w:u w:val="none"/>
        </w:rPr>
        <w:t>分（北京时间）</w:t>
      </w:r>
    </w:p>
    <w:p w14:paraId="5865D01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开标地点：溧水区人民医院行政楼5楼会议室。</w:t>
      </w:r>
    </w:p>
    <w:p w14:paraId="3128FAA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bookmarkStart w:id="15" w:name="_Toc35393803"/>
      <w:bookmarkStart w:id="16" w:name="_Toc28359017"/>
      <w:bookmarkStart w:id="17" w:name="_Toc28359094"/>
      <w:bookmarkStart w:id="18" w:name="_Toc35393634"/>
    </w:p>
    <w:p w14:paraId="69B0C94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响应文件包含但不限于下列内容：1.报价一览表（详见附件）；2.符合资格要求的相关材料；3.法人授权委托书、法定代表人身份证明书及被授权人身份证明书；4.</w:t>
      </w:r>
      <w:r>
        <w:rPr>
          <w:rFonts w:hint="eastAsia" w:asciiTheme="minorEastAsia" w:hAnsiTheme="minorEastAsia" w:eastAsiaTheme="minorEastAsia" w:cstheme="minorEastAsia"/>
          <w:b w:val="0"/>
          <w:bCs w:val="0"/>
          <w:sz w:val="24"/>
          <w:szCs w:val="24"/>
          <w:highlight w:val="none"/>
          <w:u w:val="none"/>
          <w:lang w:val="zh-CN"/>
        </w:rPr>
        <w:t>采购内容及要求条款偏离表</w:t>
      </w:r>
      <w:r>
        <w:rPr>
          <w:rFonts w:hint="eastAsia" w:asciiTheme="minorEastAsia" w:hAnsiTheme="minorEastAsia" w:eastAsiaTheme="minorEastAsia" w:cstheme="minorEastAsia"/>
          <w:b w:val="0"/>
          <w:bCs w:val="0"/>
          <w:sz w:val="24"/>
          <w:szCs w:val="24"/>
          <w:highlight w:val="none"/>
          <w:u w:val="none"/>
        </w:rPr>
        <w:t>（详见附件）</w:t>
      </w:r>
      <w:r>
        <w:rPr>
          <w:rFonts w:hint="eastAsia" w:asciiTheme="minorEastAsia" w:hAnsiTheme="minorEastAsia" w:eastAsiaTheme="minorEastAsia" w:cstheme="minorEastAsia"/>
          <w:b w:val="0"/>
          <w:bCs w:val="0"/>
          <w:sz w:val="24"/>
          <w:szCs w:val="24"/>
          <w:highlight w:val="none"/>
          <w:u w:val="none"/>
          <w:lang w:val="zh-CN"/>
        </w:rPr>
        <w:t>；</w:t>
      </w:r>
      <w:r>
        <w:rPr>
          <w:rFonts w:hint="eastAsia" w:asciiTheme="minorEastAsia" w:hAnsiTheme="minorEastAsia" w:eastAsiaTheme="minorEastAsia" w:cstheme="minorEastAsia"/>
          <w:b w:val="0"/>
          <w:bCs w:val="0"/>
          <w:sz w:val="24"/>
          <w:szCs w:val="24"/>
          <w:highlight w:val="none"/>
          <w:u w:val="none"/>
        </w:rPr>
        <w:t>5.项目技术及其他服务承诺。6.</w:t>
      </w:r>
      <w:r>
        <w:rPr>
          <w:rFonts w:hint="eastAsia" w:asciiTheme="minorEastAsia" w:hAnsiTheme="minorEastAsia" w:eastAsiaTheme="minorEastAsia" w:cstheme="minorEastAsia"/>
          <w:b w:val="0"/>
          <w:bCs w:val="0"/>
          <w:sz w:val="24"/>
          <w:szCs w:val="24"/>
          <w:highlight w:val="none"/>
          <w:u w:val="none"/>
          <w:lang w:val="zh-CN"/>
        </w:rPr>
        <w:t>服务商具有相关类似项目业绩情况表及证明材料等。</w:t>
      </w:r>
      <w:r>
        <w:rPr>
          <w:rFonts w:hint="eastAsia" w:asciiTheme="minorEastAsia" w:hAnsiTheme="minorEastAsia" w:eastAsiaTheme="minorEastAsia" w:cstheme="minorEastAsia"/>
          <w:b w:val="0"/>
          <w:bCs w:val="0"/>
          <w:sz w:val="24"/>
          <w:szCs w:val="24"/>
          <w:highlight w:val="none"/>
          <w:u w:val="none"/>
        </w:rPr>
        <w:t>上述材料均需加盖公章。（响应文件一式四份，一正三副，目录及页码清晰，密封，封面信息至少包含项目名称、</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名称及联系电话。每份投标文件须清楚标明“正本”或“副本”字样。一旦正本和副本不符，以正本为准。）</w:t>
      </w:r>
    </w:p>
    <w:p w14:paraId="15A7B4F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3A19B5A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六</w:t>
      </w:r>
      <w:r>
        <w:rPr>
          <w:rFonts w:hint="eastAsia" w:asciiTheme="minorEastAsia" w:hAnsiTheme="minorEastAsia" w:eastAsiaTheme="minorEastAsia" w:cstheme="minorEastAsia"/>
          <w:sz w:val="24"/>
          <w:szCs w:val="24"/>
          <w:highlight w:val="none"/>
          <w:u w:val="none"/>
        </w:rPr>
        <w:t>、成交</w:t>
      </w:r>
    </w:p>
    <w:p w14:paraId="075B8A6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符合采购人对本项目资格要求，并满足采购人对本项目的采购内容及要求的基础上，投标报价</w:t>
      </w:r>
      <w:r>
        <w:rPr>
          <w:rFonts w:hint="eastAsia" w:asciiTheme="minorEastAsia" w:hAnsiTheme="minorEastAsia" w:eastAsiaTheme="minorEastAsia" w:cstheme="minorEastAsia"/>
          <w:b w:val="0"/>
          <w:bCs w:val="0"/>
          <w:sz w:val="24"/>
          <w:szCs w:val="24"/>
          <w:highlight w:val="none"/>
          <w:u w:val="none"/>
          <w:lang w:eastAsia="zh-CN"/>
        </w:rPr>
        <w:t>最</w:t>
      </w:r>
      <w:r>
        <w:rPr>
          <w:rFonts w:hint="eastAsia" w:asciiTheme="minorEastAsia" w:hAnsiTheme="minorEastAsia" w:eastAsiaTheme="minorEastAsia" w:cstheme="minorEastAsia"/>
          <w:b w:val="0"/>
          <w:bCs w:val="0"/>
          <w:sz w:val="24"/>
          <w:szCs w:val="24"/>
          <w:highlight w:val="none"/>
          <w:u w:val="none"/>
          <w:lang w:val="en-US" w:eastAsia="zh-CN"/>
        </w:rPr>
        <w:t>低</w:t>
      </w:r>
      <w:r>
        <w:rPr>
          <w:rFonts w:hint="eastAsia" w:asciiTheme="minorEastAsia" w:hAnsiTheme="minorEastAsia" w:eastAsiaTheme="minorEastAsia" w:cstheme="minorEastAsia"/>
          <w:b w:val="0"/>
          <w:bCs w:val="0"/>
          <w:sz w:val="24"/>
          <w:szCs w:val="24"/>
          <w:highlight w:val="none"/>
          <w:u w:val="none"/>
        </w:rPr>
        <w:t>的</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为中标候选人。不再进行二次报价。</w:t>
      </w:r>
    </w:p>
    <w:p w14:paraId="5DD8B7F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5E15EA2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七</w:t>
      </w:r>
      <w:r>
        <w:rPr>
          <w:rFonts w:hint="eastAsia" w:asciiTheme="minorEastAsia" w:hAnsiTheme="minorEastAsia" w:eastAsiaTheme="minorEastAsia" w:cstheme="minorEastAsia"/>
          <w:sz w:val="24"/>
          <w:szCs w:val="24"/>
          <w:highlight w:val="none"/>
          <w:u w:val="none"/>
        </w:rPr>
        <w:t>、公告期限</w:t>
      </w:r>
      <w:bookmarkEnd w:id="15"/>
      <w:bookmarkEnd w:id="16"/>
      <w:bookmarkEnd w:id="17"/>
      <w:bookmarkEnd w:id="18"/>
    </w:p>
    <w:p w14:paraId="09C3A95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自本公告发布之日起3个工作日。</w:t>
      </w:r>
    </w:p>
    <w:p w14:paraId="32442EA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bookmarkStart w:id="19" w:name="_Toc35393636"/>
      <w:bookmarkStart w:id="20" w:name="_Toc28359095"/>
      <w:bookmarkStart w:id="21" w:name="_Toc28359018"/>
      <w:bookmarkStart w:id="22" w:name="_Toc35393805"/>
    </w:p>
    <w:p w14:paraId="7CBF3B9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八</w:t>
      </w:r>
      <w:r>
        <w:rPr>
          <w:rFonts w:hint="eastAsia" w:asciiTheme="minorEastAsia" w:hAnsiTheme="minorEastAsia" w:eastAsiaTheme="minorEastAsia" w:cstheme="minorEastAsia"/>
          <w:sz w:val="24"/>
          <w:szCs w:val="24"/>
          <w:highlight w:val="none"/>
          <w:u w:val="none"/>
        </w:rPr>
        <w:t>、凡对本次采购提出询问，请按以下方式联系。</w:t>
      </w:r>
      <w:bookmarkEnd w:id="19"/>
      <w:bookmarkEnd w:id="20"/>
      <w:bookmarkEnd w:id="21"/>
      <w:bookmarkEnd w:id="22"/>
    </w:p>
    <w:p w14:paraId="4F5D4DF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 xml:space="preserve">名    称：  </w:t>
      </w:r>
      <w:r>
        <w:rPr>
          <w:rFonts w:hint="eastAsia" w:asciiTheme="minorEastAsia" w:hAnsiTheme="minorEastAsia" w:eastAsiaTheme="minorEastAsia" w:cstheme="minorEastAsia"/>
          <w:b w:val="0"/>
          <w:bCs w:val="0"/>
          <w:sz w:val="24"/>
          <w:szCs w:val="24"/>
          <w:highlight w:val="none"/>
          <w:u w:val="none"/>
          <w:lang w:val="en-US" w:eastAsia="zh-CN"/>
        </w:rPr>
        <w:t>总务科</w:t>
      </w:r>
      <w:r>
        <w:rPr>
          <w:rFonts w:hint="eastAsia" w:asciiTheme="minorEastAsia" w:hAnsiTheme="minorEastAsia" w:eastAsiaTheme="minorEastAsia" w:cstheme="minorEastAsia"/>
          <w:b w:val="0"/>
          <w:bCs w:val="0"/>
          <w:sz w:val="24"/>
          <w:szCs w:val="24"/>
          <w:highlight w:val="none"/>
          <w:u w:val="none"/>
        </w:rPr>
        <w:t>（</w:t>
      </w:r>
      <w:r>
        <w:rPr>
          <w:rFonts w:hint="eastAsia" w:asciiTheme="minorEastAsia" w:hAnsiTheme="minorEastAsia" w:eastAsiaTheme="minorEastAsia" w:cstheme="minorEastAsia"/>
          <w:b w:val="0"/>
          <w:bCs w:val="0"/>
          <w:sz w:val="24"/>
          <w:szCs w:val="24"/>
          <w:highlight w:val="none"/>
          <w:u w:val="none"/>
          <w:lang w:eastAsia="zh-CN"/>
        </w:rPr>
        <w:t>服务事宜</w:t>
      </w:r>
      <w:r>
        <w:rPr>
          <w:rFonts w:hint="eastAsia" w:asciiTheme="minorEastAsia" w:hAnsiTheme="minorEastAsia" w:eastAsiaTheme="minorEastAsia" w:cstheme="minorEastAsia"/>
          <w:b w:val="0"/>
          <w:bCs w:val="0"/>
          <w:sz w:val="24"/>
          <w:szCs w:val="24"/>
          <w:highlight w:val="none"/>
          <w:u w:val="none"/>
        </w:rPr>
        <w:t>咨询） 物资采购管理中心（采购事宜）</w:t>
      </w:r>
    </w:p>
    <w:p w14:paraId="4985F02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 xml:space="preserve">地    址：　南京市溧水区崇文路86号　　　　　　　　　     </w:t>
      </w:r>
    </w:p>
    <w:p w14:paraId="325ACAB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601F409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联系方式：　025-562320</w:t>
      </w:r>
      <w:r>
        <w:rPr>
          <w:rFonts w:hint="eastAsia" w:asciiTheme="minorEastAsia" w:hAnsiTheme="minorEastAsia" w:eastAsiaTheme="minorEastAsia" w:cstheme="minorEastAsia"/>
          <w:b w:val="0"/>
          <w:bCs w:val="0"/>
          <w:sz w:val="24"/>
          <w:szCs w:val="24"/>
          <w:highlight w:val="none"/>
          <w:u w:val="none"/>
          <w:lang w:val="en-US" w:eastAsia="zh-CN"/>
        </w:rPr>
        <w:t>27索老师</w:t>
      </w:r>
      <w:r>
        <w:rPr>
          <w:rFonts w:hint="eastAsia" w:asciiTheme="minorEastAsia" w:hAnsiTheme="minorEastAsia" w:eastAsiaTheme="minorEastAsia" w:cstheme="minorEastAsia"/>
          <w:b w:val="0"/>
          <w:bCs w:val="0"/>
          <w:sz w:val="24"/>
          <w:szCs w:val="24"/>
          <w:highlight w:val="none"/>
          <w:u w:val="none"/>
        </w:rPr>
        <w:t>（</w:t>
      </w:r>
      <w:r>
        <w:rPr>
          <w:rFonts w:hint="eastAsia" w:asciiTheme="minorEastAsia" w:hAnsiTheme="minorEastAsia" w:eastAsiaTheme="minorEastAsia" w:cstheme="minorEastAsia"/>
          <w:b w:val="0"/>
          <w:bCs w:val="0"/>
          <w:sz w:val="24"/>
          <w:szCs w:val="24"/>
          <w:highlight w:val="none"/>
          <w:u w:val="none"/>
          <w:lang w:val="en-US" w:eastAsia="zh-CN"/>
        </w:rPr>
        <w:t>总务科</w:t>
      </w:r>
      <w:r>
        <w:rPr>
          <w:rFonts w:hint="eastAsia" w:asciiTheme="minorEastAsia" w:hAnsiTheme="minorEastAsia" w:eastAsiaTheme="minorEastAsia" w:cstheme="minorEastAsia"/>
          <w:b w:val="0"/>
          <w:bCs w:val="0"/>
          <w:sz w:val="24"/>
          <w:szCs w:val="24"/>
          <w:highlight w:val="none"/>
          <w:u w:val="none"/>
        </w:rPr>
        <w:t>）</w:t>
      </w:r>
    </w:p>
    <w:p w14:paraId="5D750497">
      <w:pPr>
        <w:keepNext w:val="0"/>
        <w:keepLines w:val="0"/>
        <w:pageBreakBefore w:val="0"/>
        <w:widowControl w:val="0"/>
        <w:kinsoku/>
        <w:wordWrap/>
        <w:overflowPunct/>
        <w:topLinePunct w:val="0"/>
        <w:autoSpaceDE/>
        <w:autoSpaceDN/>
        <w:bidi w:val="0"/>
        <w:adjustRightInd/>
        <w:snapToGrid/>
        <w:spacing w:line="360" w:lineRule="exact"/>
        <w:ind w:firstLine="1920" w:firstLineChars="80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rPr>
        <w:t>025-56232023秦老师（采购中心）</w:t>
      </w:r>
    </w:p>
    <w:p w14:paraId="7C8837A1">
      <w:pPr>
        <w:numPr>
          <w:ilvl w:val="0"/>
          <w:numId w:val="4"/>
        </w:numPr>
        <w:spacing w:line="400" w:lineRule="exact"/>
        <w:ind w:firstLine="2530" w:firstLineChars="900"/>
        <w:rPr>
          <w:rFonts w:hint="default" w:asciiTheme="minorEastAsia" w:hAnsiTheme="minorEastAsia" w:eastAsiaTheme="minorEastAsia" w:cstheme="minorEastAsia"/>
          <w:b/>
          <w:bCs/>
          <w:sz w:val="28"/>
          <w:szCs w:val="28"/>
          <w:highlight w:val="none"/>
          <w:u w:val="none"/>
          <w:lang w:val="en-US" w:eastAsia="zh-CN"/>
        </w:rPr>
      </w:pPr>
      <w:r>
        <w:rPr>
          <w:rFonts w:hint="eastAsia" w:asciiTheme="minorEastAsia" w:hAnsiTheme="minorEastAsia" w:eastAsiaTheme="minorEastAsia" w:cstheme="minorEastAsia"/>
          <w:b/>
          <w:bCs/>
          <w:sz w:val="28"/>
          <w:szCs w:val="28"/>
          <w:highlight w:val="none"/>
          <w:u w:val="none"/>
          <w:lang w:val="en-US" w:eastAsia="zh-CN"/>
        </w:rPr>
        <w:t xml:space="preserve">  采购需求</w:t>
      </w:r>
    </w:p>
    <w:p w14:paraId="68BA559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bCs/>
          <w:sz w:val="24"/>
          <w:szCs w:val="24"/>
          <w:highlight w:val="none"/>
          <w:u w:val="none"/>
          <w:lang w:val="en-US" w:eastAsia="zh-CN"/>
        </w:rPr>
      </w:pPr>
      <w:r>
        <w:rPr>
          <w:rFonts w:hint="eastAsia" w:asciiTheme="minorEastAsia" w:hAnsiTheme="minorEastAsia" w:eastAsiaTheme="minorEastAsia" w:cstheme="minorEastAsia"/>
          <w:b/>
          <w:bCs/>
          <w:sz w:val="24"/>
          <w:szCs w:val="24"/>
          <w:highlight w:val="none"/>
          <w:u w:val="none"/>
          <w:lang w:val="en-US" w:eastAsia="zh-CN"/>
        </w:rPr>
        <w:t>一、服务条款</w:t>
      </w:r>
      <w:r>
        <w:rPr>
          <w:rFonts w:hint="eastAsia" w:asciiTheme="minorEastAsia" w:hAnsiTheme="minorEastAsia" w:eastAsiaTheme="minorEastAsia" w:cstheme="minorEastAsia"/>
          <w:b/>
          <w:bCs/>
          <w:sz w:val="24"/>
          <w:szCs w:val="24"/>
          <w:highlight w:val="none"/>
          <w:u w:val="single"/>
          <w:lang w:val="en-US" w:eastAsia="zh-CN"/>
        </w:rPr>
        <w:t>（根据此项内容填写《服务条款响应偏离表》，要求逐条响应）</w:t>
      </w:r>
    </w:p>
    <w:p w14:paraId="3B18EBE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eastAsia="zh-CN"/>
        </w:rPr>
        <w:t>（</w:t>
      </w:r>
      <w:r>
        <w:rPr>
          <w:rFonts w:hint="eastAsia" w:asciiTheme="minorEastAsia" w:hAnsiTheme="minorEastAsia" w:eastAsiaTheme="minorEastAsia" w:cstheme="minorEastAsia"/>
          <w:b w:val="0"/>
          <w:bCs w:val="0"/>
          <w:sz w:val="24"/>
          <w:szCs w:val="24"/>
          <w:highlight w:val="none"/>
          <w:u w:val="none"/>
          <w:lang w:val="en-US" w:eastAsia="zh-CN"/>
        </w:rPr>
        <w:t>一</w:t>
      </w:r>
      <w:r>
        <w:rPr>
          <w:rFonts w:hint="eastAsia" w:asciiTheme="minorEastAsia" w:hAnsiTheme="minorEastAsia" w:eastAsiaTheme="minorEastAsia" w:cstheme="minorEastAsia"/>
          <w:b w:val="0"/>
          <w:bCs w:val="0"/>
          <w:sz w:val="24"/>
          <w:szCs w:val="24"/>
          <w:highlight w:val="none"/>
          <w:u w:val="none"/>
          <w:lang w:eastAsia="zh-CN"/>
        </w:rPr>
        <w:t>）</w:t>
      </w:r>
      <w:r>
        <w:rPr>
          <w:rFonts w:hint="eastAsia" w:asciiTheme="minorEastAsia" w:hAnsiTheme="minorEastAsia" w:eastAsiaTheme="minorEastAsia" w:cstheme="minorEastAsia"/>
          <w:b w:val="0"/>
          <w:bCs w:val="0"/>
          <w:sz w:val="24"/>
          <w:szCs w:val="24"/>
          <w:highlight w:val="none"/>
          <w:u w:val="none"/>
        </w:rPr>
        <w:t>电梯维修保养的服务范围和内容</w:t>
      </w:r>
    </w:p>
    <w:p w14:paraId="4865148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1需要维修保养的电梯（维保范围）</w:t>
      </w:r>
    </w:p>
    <w:p w14:paraId="3BED785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eastAsia="zh-CN"/>
        </w:rPr>
        <w:t>本次维保电梯为住院二部及食堂共五部电梯，参数见下表：</w:t>
      </w:r>
    </w:p>
    <w:tbl>
      <w:tblPr>
        <w:tblStyle w:val="19"/>
        <w:tblpPr w:leftFromText="180" w:rightFromText="180" w:vertAnchor="text" w:horzAnchor="page" w:tblpX="1615" w:tblpY="75"/>
        <w:tblOverlap w:val="never"/>
        <w:tblW w:w="8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90"/>
        <w:gridCol w:w="1299"/>
        <w:gridCol w:w="1134"/>
        <w:gridCol w:w="992"/>
        <w:gridCol w:w="803"/>
        <w:gridCol w:w="1896"/>
      </w:tblGrid>
      <w:tr w14:paraId="5896F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15876D0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eastAsia="zh-CN"/>
              </w:rPr>
              <w:t>序号</w:t>
            </w:r>
          </w:p>
        </w:tc>
        <w:tc>
          <w:tcPr>
            <w:tcW w:w="1590" w:type="dxa"/>
            <w:noWrap w:val="0"/>
            <w:vAlign w:val="top"/>
          </w:tcPr>
          <w:p w14:paraId="1B13A4B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eastAsia="zh-CN"/>
              </w:rPr>
              <w:t>电梯编</w:t>
            </w:r>
            <w:r>
              <w:rPr>
                <w:rFonts w:hint="eastAsia" w:asciiTheme="minorEastAsia" w:hAnsiTheme="minorEastAsia" w:eastAsiaTheme="minorEastAsia" w:cstheme="minorEastAsia"/>
                <w:b w:val="0"/>
                <w:bCs w:val="0"/>
                <w:sz w:val="24"/>
                <w:szCs w:val="24"/>
                <w:highlight w:val="none"/>
                <w:u w:val="none"/>
              </w:rPr>
              <w:t>号</w:t>
            </w:r>
          </w:p>
        </w:tc>
        <w:tc>
          <w:tcPr>
            <w:tcW w:w="1299" w:type="dxa"/>
            <w:noWrap w:val="0"/>
            <w:vAlign w:val="top"/>
          </w:tcPr>
          <w:p w14:paraId="02473A6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eastAsia="zh-CN"/>
              </w:rPr>
              <w:t>电梯品牌</w:t>
            </w:r>
          </w:p>
        </w:tc>
        <w:tc>
          <w:tcPr>
            <w:tcW w:w="1134" w:type="dxa"/>
            <w:noWrap w:val="0"/>
            <w:vAlign w:val="top"/>
          </w:tcPr>
          <w:p w14:paraId="2CD5984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层/站</w:t>
            </w:r>
          </w:p>
        </w:tc>
        <w:tc>
          <w:tcPr>
            <w:tcW w:w="992" w:type="dxa"/>
            <w:noWrap w:val="0"/>
            <w:vAlign w:val="top"/>
          </w:tcPr>
          <w:p w14:paraId="4AD25D7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载重kg</w:t>
            </w:r>
          </w:p>
        </w:tc>
        <w:tc>
          <w:tcPr>
            <w:tcW w:w="803" w:type="dxa"/>
            <w:noWrap w:val="0"/>
            <w:vAlign w:val="top"/>
          </w:tcPr>
          <w:p w14:paraId="263B10D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台数</w:t>
            </w:r>
          </w:p>
        </w:tc>
        <w:tc>
          <w:tcPr>
            <w:tcW w:w="1896" w:type="dxa"/>
            <w:noWrap w:val="0"/>
            <w:vAlign w:val="top"/>
          </w:tcPr>
          <w:p w14:paraId="3A62251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eastAsia="zh-CN"/>
              </w:rPr>
              <w:t>投入使用时间</w:t>
            </w:r>
          </w:p>
        </w:tc>
      </w:tr>
      <w:tr w14:paraId="6CA2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04FB593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w:t>
            </w:r>
          </w:p>
        </w:tc>
        <w:tc>
          <w:tcPr>
            <w:tcW w:w="1590" w:type="dxa"/>
            <w:noWrap w:val="0"/>
            <w:vAlign w:val="top"/>
          </w:tcPr>
          <w:p w14:paraId="67EF01A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20A146</w:t>
            </w:r>
          </w:p>
        </w:tc>
        <w:tc>
          <w:tcPr>
            <w:tcW w:w="1299" w:type="dxa"/>
            <w:noWrap w:val="0"/>
            <w:vAlign w:val="top"/>
          </w:tcPr>
          <w:p w14:paraId="5D5A3A9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扬州帝申</w:t>
            </w:r>
          </w:p>
        </w:tc>
        <w:tc>
          <w:tcPr>
            <w:tcW w:w="1134" w:type="dxa"/>
            <w:noWrap w:val="0"/>
            <w:vAlign w:val="top"/>
          </w:tcPr>
          <w:p w14:paraId="6863852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2/2</w:t>
            </w:r>
          </w:p>
        </w:tc>
        <w:tc>
          <w:tcPr>
            <w:tcW w:w="992" w:type="dxa"/>
            <w:noWrap w:val="0"/>
            <w:vAlign w:val="top"/>
          </w:tcPr>
          <w:p w14:paraId="1143B54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250</w:t>
            </w:r>
          </w:p>
        </w:tc>
        <w:tc>
          <w:tcPr>
            <w:tcW w:w="803" w:type="dxa"/>
            <w:noWrap w:val="0"/>
            <w:vAlign w:val="top"/>
          </w:tcPr>
          <w:p w14:paraId="32AD8BC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w:t>
            </w:r>
          </w:p>
        </w:tc>
        <w:tc>
          <w:tcPr>
            <w:tcW w:w="1896" w:type="dxa"/>
            <w:noWrap w:val="0"/>
            <w:vAlign w:val="top"/>
          </w:tcPr>
          <w:p w14:paraId="50F73DE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2021.6</w:t>
            </w:r>
          </w:p>
        </w:tc>
      </w:tr>
      <w:tr w14:paraId="3756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3192ED8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w:t>
            </w:r>
          </w:p>
        </w:tc>
        <w:tc>
          <w:tcPr>
            <w:tcW w:w="1590" w:type="dxa"/>
            <w:noWrap w:val="0"/>
            <w:vAlign w:val="top"/>
          </w:tcPr>
          <w:p w14:paraId="2CF911C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20A147</w:t>
            </w:r>
          </w:p>
        </w:tc>
        <w:tc>
          <w:tcPr>
            <w:tcW w:w="1299" w:type="dxa"/>
            <w:noWrap w:val="0"/>
            <w:vAlign w:val="top"/>
          </w:tcPr>
          <w:p w14:paraId="11C698D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eastAsia="zh-CN"/>
              </w:rPr>
              <w:t>扬州帝申</w:t>
            </w:r>
          </w:p>
        </w:tc>
        <w:tc>
          <w:tcPr>
            <w:tcW w:w="1134" w:type="dxa"/>
            <w:noWrap w:val="0"/>
            <w:vAlign w:val="top"/>
          </w:tcPr>
          <w:p w14:paraId="0CFB1CC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2/2</w:t>
            </w:r>
          </w:p>
        </w:tc>
        <w:tc>
          <w:tcPr>
            <w:tcW w:w="992" w:type="dxa"/>
            <w:noWrap w:val="0"/>
            <w:vAlign w:val="top"/>
          </w:tcPr>
          <w:p w14:paraId="775D1BC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250</w:t>
            </w:r>
          </w:p>
        </w:tc>
        <w:tc>
          <w:tcPr>
            <w:tcW w:w="803" w:type="dxa"/>
            <w:noWrap w:val="0"/>
            <w:vAlign w:val="top"/>
          </w:tcPr>
          <w:p w14:paraId="0AF36B4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w:t>
            </w:r>
          </w:p>
        </w:tc>
        <w:tc>
          <w:tcPr>
            <w:tcW w:w="1896" w:type="dxa"/>
            <w:noWrap w:val="0"/>
            <w:vAlign w:val="top"/>
          </w:tcPr>
          <w:p w14:paraId="050F153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2021.6</w:t>
            </w:r>
          </w:p>
        </w:tc>
      </w:tr>
      <w:tr w14:paraId="6CAC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07F808F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w:t>
            </w:r>
          </w:p>
        </w:tc>
        <w:tc>
          <w:tcPr>
            <w:tcW w:w="1590" w:type="dxa"/>
            <w:noWrap w:val="0"/>
            <w:vAlign w:val="top"/>
          </w:tcPr>
          <w:p w14:paraId="5F8F93C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20A148</w:t>
            </w:r>
          </w:p>
        </w:tc>
        <w:tc>
          <w:tcPr>
            <w:tcW w:w="1299" w:type="dxa"/>
            <w:noWrap w:val="0"/>
            <w:vAlign w:val="top"/>
          </w:tcPr>
          <w:p w14:paraId="3DFC99A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eastAsia="zh-CN"/>
              </w:rPr>
              <w:t>扬州帝申</w:t>
            </w:r>
          </w:p>
        </w:tc>
        <w:tc>
          <w:tcPr>
            <w:tcW w:w="1134" w:type="dxa"/>
            <w:noWrap w:val="0"/>
            <w:vAlign w:val="top"/>
          </w:tcPr>
          <w:p w14:paraId="222B442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24/22</w:t>
            </w:r>
          </w:p>
        </w:tc>
        <w:tc>
          <w:tcPr>
            <w:tcW w:w="992" w:type="dxa"/>
            <w:noWrap w:val="0"/>
            <w:vAlign w:val="top"/>
          </w:tcPr>
          <w:p w14:paraId="43783E6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250</w:t>
            </w:r>
          </w:p>
        </w:tc>
        <w:tc>
          <w:tcPr>
            <w:tcW w:w="803" w:type="dxa"/>
            <w:noWrap w:val="0"/>
            <w:vAlign w:val="top"/>
          </w:tcPr>
          <w:p w14:paraId="5B595CE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w:t>
            </w:r>
          </w:p>
        </w:tc>
        <w:tc>
          <w:tcPr>
            <w:tcW w:w="1896" w:type="dxa"/>
            <w:noWrap w:val="0"/>
            <w:vAlign w:val="top"/>
          </w:tcPr>
          <w:p w14:paraId="78D7381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2021.6</w:t>
            </w:r>
          </w:p>
        </w:tc>
      </w:tr>
      <w:tr w14:paraId="39BB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760C72A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w:t>
            </w:r>
          </w:p>
        </w:tc>
        <w:tc>
          <w:tcPr>
            <w:tcW w:w="1590" w:type="dxa"/>
            <w:noWrap w:val="0"/>
            <w:vAlign w:val="top"/>
          </w:tcPr>
          <w:p w14:paraId="59396E1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XODTD08113</w:t>
            </w:r>
          </w:p>
        </w:tc>
        <w:tc>
          <w:tcPr>
            <w:tcW w:w="1299" w:type="dxa"/>
            <w:noWrap w:val="0"/>
            <w:vAlign w:val="top"/>
          </w:tcPr>
          <w:p w14:paraId="230F664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eastAsia="zh-CN"/>
              </w:rPr>
              <w:t>杭州西奥</w:t>
            </w:r>
          </w:p>
        </w:tc>
        <w:tc>
          <w:tcPr>
            <w:tcW w:w="1134" w:type="dxa"/>
            <w:noWrap w:val="0"/>
            <w:vAlign w:val="top"/>
          </w:tcPr>
          <w:p w14:paraId="7A5A05D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2/2</w:t>
            </w:r>
          </w:p>
        </w:tc>
        <w:tc>
          <w:tcPr>
            <w:tcW w:w="992" w:type="dxa"/>
            <w:noWrap w:val="0"/>
            <w:vAlign w:val="top"/>
          </w:tcPr>
          <w:p w14:paraId="6DBC494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1350</w:t>
            </w:r>
          </w:p>
        </w:tc>
        <w:tc>
          <w:tcPr>
            <w:tcW w:w="803" w:type="dxa"/>
            <w:noWrap w:val="0"/>
            <w:vAlign w:val="top"/>
          </w:tcPr>
          <w:p w14:paraId="1879817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w:t>
            </w:r>
          </w:p>
        </w:tc>
        <w:tc>
          <w:tcPr>
            <w:tcW w:w="1896" w:type="dxa"/>
            <w:noWrap w:val="0"/>
            <w:vAlign w:val="top"/>
          </w:tcPr>
          <w:p w14:paraId="15A899E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2021.6</w:t>
            </w:r>
          </w:p>
        </w:tc>
      </w:tr>
      <w:tr w14:paraId="7A92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noWrap w:val="0"/>
            <w:vAlign w:val="top"/>
          </w:tcPr>
          <w:p w14:paraId="2088B25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5</w:t>
            </w:r>
          </w:p>
        </w:tc>
        <w:tc>
          <w:tcPr>
            <w:tcW w:w="1590" w:type="dxa"/>
            <w:noWrap w:val="0"/>
            <w:vAlign w:val="top"/>
          </w:tcPr>
          <w:p w14:paraId="1B44F81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rPr>
            </w:pPr>
            <w:r>
              <w:rPr>
                <w:rFonts w:hint="eastAsia" w:asciiTheme="minorEastAsia" w:hAnsiTheme="minorEastAsia" w:eastAsiaTheme="minorEastAsia" w:cstheme="minorEastAsia"/>
                <w:b w:val="0"/>
                <w:bCs w:val="0"/>
                <w:sz w:val="24"/>
                <w:szCs w:val="24"/>
                <w:highlight w:val="none"/>
                <w:u w:val="none"/>
                <w:lang w:val="en-US" w:eastAsia="zh-CN"/>
              </w:rPr>
              <w:t>XODTD08114</w:t>
            </w:r>
          </w:p>
        </w:tc>
        <w:tc>
          <w:tcPr>
            <w:tcW w:w="1299" w:type="dxa"/>
            <w:noWrap w:val="0"/>
            <w:vAlign w:val="top"/>
          </w:tcPr>
          <w:p w14:paraId="348F554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eastAsia="zh-CN"/>
              </w:rPr>
              <w:t>杭州西奥</w:t>
            </w:r>
          </w:p>
        </w:tc>
        <w:tc>
          <w:tcPr>
            <w:tcW w:w="1134" w:type="dxa"/>
            <w:noWrap w:val="0"/>
            <w:vAlign w:val="top"/>
          </w:tcPr>
          <w:p w14:paraId="54868E5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2/2</w:t>
            </w:r>
          </w:p>
        </w:tc>
        <w:tc>
          <w:tcPr>
            <w:tcW w:w="992" w:type="dxa"/>
            <w:noWrap w:val="0"/>
            <w:vAlign w:val="top"/>
          </w:tcPr>
          <w:p w14:paraId="2E920C9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1000</w:t>
            </w:r>
          </w:p>
        </w:tc>
        <w:tc>
          <w:tcPr>
            <w:tcW w:w="803" w:type="dxa"/>
            <w:noWrap w:val="0"/>
            <w:vAlign w:val="top"/>
          </w:tcPr>
          <w:p w14:paraId="7CE9A2D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w:t>
            </w:r>
          </w:p>
        </w:tc>
        <w:tc>
          <w:tcPr>
            <w:tcW w:w="1896" w:type="dxa"/>
            <w:noWrap w:val="0"/>
            <w:vAlign w:val="top"/>
          </w:tcPr>
          <w:p w14:paraId="477C599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2021.6</w:t>
            </w:r>
          </w:p>
        </w:tc>
      </w:tr>
    </w:tbl>
    <w:p w14:paraId="5D32867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2CFE92B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094A1E6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56FB2D7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25735CE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616AF6C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5F77F76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4C4AC9C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p>
    <w:p w14:paraId="209F3EAD">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 维保内容</w:t>
      </w:r>
    </w:p>
    <w:p w14:paraId="243123F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电梯维保分为半月、季度、半年、年度四类，各类维保的基本项目和要求分别见附件A至附件D，维保单位应当按时完成规定的保养项目。</w:t>
      </w:r>
    </w:p>
    <w:p w14:paraId="18D9E56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3召修</w:t>
      </w:r>
    </w:p>
    <w:p w14:paraId="35C6C45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维保单位提供电梯的日常召修，反应迅速，检修及时。</w:t>
      </w:r>
    </w:p>
    <w:p w14:paraId="3F41DD8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维保单位提供应急故障处理服务，困人事故时，20分钟内到达现场妥善处理。</w:t>
      </w:r>
    </w:p>
    <w:p w14:paraId="2E77569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eastAsia="zh-CN"/>
        </w:rPr>
        <w:t>（</w:t>
      </w:r>
      <w:r>
        <w:rPr>
          <w:rFonts w:hint="eastAsia" w:asciiTheme="minorEastAsia" w:hAnsiTheme="minorEastAsia" w:eastAsiaTheme="minorEastAsia" w:cstheme="minorEastAsia"/>
          <w:b w:val="0"/>
          <w:bCs w:val="0"/>
          <w:sz w:val="24"/>
          <w:szCs w:val="24"/>
          <w:highlight w:val="none"/>
          <w:u w:val="none"/>
          <w:lang w:val="en-US" w:eastAsia="zh-CN"/>
        </w:rPr>
        <w:t>二</w:t>
      </w:r>
      <w:r>
        <w:rPr>
          <w:rFonts w:hint="eastAsia" w:asciiTheme="minorEastAsia" w:hAnsiTheme="minorEastAsia" w:eastAsiaTheme="minorEastAsia" w:cstheme="minorEastAsia"/>
          <w:b w:val="0"/>
          <w:bCs w:val="0"/>
          <w:sz w:val="24"/>
          <w:szCs w:val="24"/>
          <w:highlight w:val="none"/>
          <w:u w:val="none"/>
          <w:lang w:eastAsia="zh-CN"/>
        </w:rPr>
        <w:t>）</w:t>
      </w:r>
      <w:r>
        <w:rPr>
          <w:rFonts w:hint="eastAsia" w:asciiTheme="minorEastAsia" w:hAnsiTheme="minorEastAsia" w:eastAsiaTheme="minorEastAsia" w:cstheme="minorEastAsia"/>
          <w:b w:val="0"/>
          <w:bCs w:val="0"/>
          <w:sz w:val="24"/>
          <w:szCs w:val="24"/>
          <w:highlight w:val="none"/>
          <w:u w:val="none"/>
        </w:rPr>
        <w:t>维修保养</w:t>
      </w:r>
      <w:r>
        <w:rPr>
          <w:rFonts w:hint="eastAsia" w:asciiTheme="minorEastAsia" w:hAnsiTheme="minorEastAsia" w:eastAsiaTheme="minorEastAsia" w:cstheme="minorEastAsia"/>
          <w:b w:val="0"/>
          <w:bCs w:val="0"/>
          <w:sz w:val="24"/>
          <w:szCs w:val="24"/>
          <w:highlight w:val="none"/>
          <w:u w:val="none"/>
          <w:lang w:eastAsia="zh-CN"/>
        </w:rPr>
        <w:t>要求</w:t>
      </w:r>
    </w:p>
    <w:p w14:paraId="435A07B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1、投标价格应包括与维保内容有关的所有费用(含人工、工具、利润、税金等)。按单价及总价标明报价，同时需附各类原厂零部件价格清单及供货时间。</w:t>
      </w:r>
    </w:p>
    <w:p w14:paraId="3C69BE0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2、中标方服务人员按照保养要求进行检查、调试、维护、维修，以确保电梯处于良好状态，所有机组的正常运行，在维保期内的电梯安全责任由中标方承担。</w:t>
      </w:r>
    </w:p>
    <w:p w14:paraId="58BC4D9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3、中标人须保证一次性通过年检并取得合格证</w:t>
      </w:r>
      <w:r>
        <w:rPr>
          <w:rFonts w:hint="eastAsia" w:asciiTheme="minorEastAsia" w:hAnsiTheme="minorEastAsia" w:eastAsiaTheme="minorEastAsia" w:cstheme="minorEastAsia"/>
          <w:b w:val="0"/>
          <w:bCs w:val="0"/>
          <w:sz w:val="24"/>
          <w:szCs w:val="24"/>
          <w:highlight w:val="none"/>
          <w:u w:val="none"/>
          <w:lang w:eastAsia="zh-CN"/>
        </w:rPr>
        <w:t>，年检费用由中标方承担</w:t>
      </w:r>
      <w:r>
        <w:rPr>
          <w:rFonts w:hint="eastAsia" w:asciiTheme="minorEastAsia" w:hAnsiTheme="minorEastAsia" w:eastAsiaTheme="minorEastAsia" w:cstheme="minorEastAsia"/>
          <w:b w:val="0"/>
          <w:bCs w:val="0"/>
          <w:sz w:val="24"/>
          <w:szCs w:val="24"/>
          <w:highlight w:val="none"/>
          <w:u w:val="none"/>
        </w:rPr>
        <w:t>；对于使用年限不超过15年的限速器，每2年进行一次</w:t>
      </w:r>
      <w:r>
        <w:rPr>
          <w:rFonts w:hint="eastAsia" w:asciiTheme="minorEastAsia" w:hAnsiTheme="minorEastAsia" w:eastAsiaTheme="minorEastAsia" w:cstheme="minorEastAsia"/>
          <w:b w:val="0"/>
          <w:bCs w:val="0"/>
          <w:sz w:val="24"/>
          <w:szCs w:val="24"/>
          <w:highlight w:val="none"/>
          <w:u w:val="none"/>
          <w:lang w:eastAsia="zh-CN"/>
        </w:rPr>
        <w:t>检测；</w:t>
      </w:r>
      <w:r>
        <w:rPr>
          <w:rFonts w:hint="eastAsia" w:asciiTheme="minorEastAsia" w:hAnsiTheme="minorEastAsia" w:eastAsiaTheme="minorEastAsia" w:cstheme="minorEastAsia"/>
          <w:b w:val="0"/>
          <w:bCs w:val="0"/>
          <w:sz w:val="24"/>
          <w:szCs w:val="24"/>
          <w:highlight w:val="none"/>
          <w:u w:val="none"/>
        </w:rPr>
        <w:t>对于使用年限超过15年的限速器，每年进行一次</w:t>
      </w:r>
      <w:r>
        <w:rPr>
          <w:rFonts w:hint="eastAsia" w:asciiTheme="minorEastAsia" w:hAnsiTheme="minorEastAsia" w:eastAsiaTheme="minorEastAsia" w:cstheme="minorEastAsia"/>
          <w:b w:val="0"/>
          <w:bCs w:val="0"/>
          <w:sz w:val="24"/>
          <w:szCs w:val="24"/>
          <w:highlight w:val="none"/>
          <w:u w:val="none"/>
          <w:lang w:eastAsia="zh-CN"/>
        </w:rPr>
        <w:t>检测</w:t>
      </w:r>
      <w:r>
        <w:rPr>
          <w:rFonts w:hint="eastAsia" w:asciiTheme="minorEastAsia" w:hAnsiTheme="minorEastAsia" w:eastAsiaTheme="minorEastAsia" w:cstheme="minorEastAsia"/>
          <w:b w:val="0"/>
          <w:bCs w:val="0"/>
          <w:sz w:val="24"/>
          <w:szCs w:val="24"/>
          <w:highlight w:val="none"/>
          <w:u w:val="none"/>
        </w:rPr>
        <w:t>，</w:t>
      </w:r>
      <w:r>
        <w:rPr>
          <w:rFonts w:hint="eastAsia" w:asciiTheme="minorEastAsia" w:hAnsiTheme="minorEastAsia" w:eastAsiaTheme="minorEastAsia" w:cstheme="minorEastAsia"/>
          <w:b w:val="0"/>
          <w:bCs w:val="0"/>
          <w:sz w:val="24"/>
          <w:szCs w:val="24"/>
          <w:highlight w:val="none"/>
          <w:u w:val="none"/>
          <w:lang w:eastAsia="zh-CN"/>
        </w:rPr>
        <w:t>费用由</w:t>
      </w:r>
      <w:r>
        <w:rPr>
          <w:rFonts w:hint="eastAsia" w:asciiTheme="minorEastAsia" w:hAnsiTheme="minorEastAsia" w:eastAsiaTheme="minorEastAsia" w:cstheme="minorEastAsia"/>
          <w:b w:val="0"/>
          <w:bCs w:val="0"/>
          <w:sz w:val="24"/>
          <w:szCs w:val="24"/>
          <w:highlight w:val="none"/>
          <w:u w:val="none"/>
        </w:rPr>
        <w:t>由中标人承担。</w:t>
      </w:r>
    </w:p>
    <w:p w14:paraId="2A219AD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4、中标人须每月对每台机组进行至少二次(每隔15天)检查保养，保养符合行业安全运行标准。</w:t>
      </w:r>
    </w:p>
    <w:p w14:paraId="0E96902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5、中标人须将保养单</w:t>
      </w:r>
      <w:r>
        <w:rPr>
          <w:rFonts w:hint="eastAsia" w:asciiTheme="minorEastAsia" w:hAnsiTheme="minorEastAsia" w:eastAsiaTheme="minorEastAsia" w:cstheme="minorEastAsia"/>
          <w:b w:val="0"/>
          <w:bCs w:val="0"/>
          <w:sz w:val="24"/>
          <w:szCs w:val="24"/>
          <w:highlight w:val="none"/>
          <w:u w:val="none"/>
          <w:lang w:eastAsia="zh-CN"/>
        </w:rPr>
        <w:t>交至电梯管理人</w:t>
      </w:r>
      <w:r>
        <w:rPr>
          <w:rFonts w:hint="eastAsia" w:asciiTheme="minorEastAsia" w:hAnsiTheme="minorEastAsia" w:eastAsiaTheme="minorEastAsia" w:cstheme="minorEastAsia"/>
          <w:b w:val="0"/>
          <w:bCs w:val="0"/>
          <w:sz w:val="24"/>
          <w:szCs w:val="24"/>
          <w:highlight w:val="none"/>
          <w:u w:val="none"/>
        </w:rPr>
        <w:t>，由</w:t>
      </w:r>
      <w:r>
        <w:rPr>
          <w:rFonts w:hint="eastAsia" w:asciiTheme="minorEastAsia" w:hAnsiTheme="minorEastAsia" w:eastAsiaTheme="minorEastAsia" w:cstheme="minorEastAsia"/>
          <w:b w:val="0"/>
          <w:bCs w:val="0"/>
          <w:sz w:val="24"/>
          <w:szCs w:val="24"/>
          <w:highlight w:val="none"/>
          <w:u w:val="none"/>
          <w:lang w:eastAsia="zh-CN"/>
        </w:rPr>
        <w:t>管理</w:t>
      </w:r>
      <w:r>
        <w:rPr>
          <w:rFonts w:hint="eastAsia" w:asciiTheme="minorEastAsia" w:hAnsiTheme="minorEastAsia" w:eastAsiaTheme="minorEastAsia" w:cstheme="minorEastAsia"/>
          <w:b w:val="0"/>
          <w:bCs w:val="0"/>
          <w:sz w:val="24"/>
          <w:szCs w:val="24"/>
          <w:highlight w:val="none"/>
          <w:u w:val="none"/>
        </w:rPr>
        <w:t>单位电梯负责人签字。保养任务的完成与否，以保养单为准。</w:t>
      </w:r>
    </w:p>
    <w:p w14:paraId="6D647E4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6、中标人须在保养时设置现场安全警示标志。</w:t>
      </w:r>
    </w:p>
    <w:p w14:paraId="7FE0A4F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7、中标人应免费提供例行保养所需的人工及润滑油、润滑脂和清洁材料等。</w:t>
      </w:r>
    </w:p>
    <w:p w14:paraId="1745C8D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8、须提供24小时的应急响应服务，且能在接到故障或事故报警后30分钟内到达现场，并能提供正常连续的服务直至故障或事故排除。对电梯困人事故要求在20分钟内到达现场，10分钟内把乘客从轿厢中救出。对非电子板原因的常见故障要求在60分钟内排除，对电子板原因的故障应在</w:t>
      </w:r>
      <w:r>
        <w:rPr>
          <w:rFonts w:hint="eastAsia" w:asciiTheme="minorEastAsia" w:hAnsiTheme="minorEastAsia" w:eastAsiaTheme="minorEastAsia" w:cstheme="minorEastAsia"/>
          <w:b w:val="0"/>
          <w:bCs w:val="0"/>
          <w:sz w:val="24"/>
          <w:szCs w:val="24"/>
          <w:highlight w:val="none"/>
          <w:u w:val="none"/>
          <w:lang w:eastAsia="zh-CN"/>
        </w:rPr>
        <w:t>行业内</w:t>
      </w:r>
      <w:r>
        <w:rPr>
          <w:rFonts w:hint="eastAsia" w:asciiTheme="minorEastAsia" w:hAnsiTheme="minorEastAsia" w:eastAsiaTheme="minorEastAsia" w:cstheme="minorEastAsia"/>
          <w:b w:val="0"/>
          <w:bCs w:val="0"/>
          <w:sz w:val="24"/>
          <w:szCs w:val="24"/>
          <w:highlight w:val="none"/>
          <w:u w:val="none"/>
        </w:rPr>
        <w:t>普遍认可的合理时间内解决。</w:t>
      </w:r>
    </w:p>
    <w:p w14:paraId="67C0651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9、中标人负责免费提供、维修、更换除曳引轮、主机马达、主驱动变频器、钢丝绳以外所有</w:t>
      </w:r>
      <w:r>
        <w:rPr>
          <w:rFonts w:hint="eastAsia" w:asciiTheme="minorEastAsia" w:hAnsiTheme="minorEastAsia" w:eastAsiaTheme="minorEastAsia" w:cstheme="minorEastAsia"/>
          <w:b w:val="0"/>
          <w:bCs w:val="0"/>
          <w:sz w:val="24"/>
          <w:szCs w:val="24"/>
          <w:highlight w:val="none"/>
          <w:u w:val="none"/>
          <w:lang w:eastAsia="zh-CN"/>
        </w:rPr>
        <w:t>含</w:t>
      </w:r>
      <w:r>
        <w:rPr>
          <w:rFonts w:hint="eastAsia" w:asciiTheme="minorEastAsia" w:hAnsiTheme="minorEastAsia" w:eastAsiaTheme="minorEastAsia" w:cstheme="minorEastAsia"/>
          <w:b w:val="0"/>
          <w:bCs w:val="0"/>
          <w:color w:val="FF0000"/>
          <w:sz w:val="24"/>
          <w:szCs w:val="24"/>
          <w:highlight w:val="none"/>
          <w:u w:val="none"/>
          <w:lang w:eastAsia="zh-CN"/>
        </w:rPr>
        <w:t>维修费用</w:t>
      </w:r>
      <w:r>
        <w:rPr>
          <w:rFonts w:hint="eastAsia" w:asciiTheme="minorEastAsia" w:hAnsiTheme="minorEastAsia" w:eastAsiaTheme="minorEastAsia" w:cstheme="minorEastAsia"/>
          <w:b w:val="0"/>
          <w:bCs w:val="0"/>
          <w:color w:val="FF0000"/>
          <w:sz w:val="24"/>
          <w:szCs w:val="24"/>
          <w:highlight w:val="none"/>
          <w:u w:val="none"/>
        </w:rPr>
        <w:t>500元（含）人民币以内</w:t>
      </w:r>
      <w:r>
        <w:rPr>
          <w:rFonts w:hint="eastAsia" w:asciiTheme="minorEastAsia" w:hAnsiTheme="minorEastAsia" w:eastAsiaTheme="minorEastAsia" w:cstheme="minorEastAsia"/>
          <w:b w:val="0"/>
          <w:bCs w:val="0"/>
          <w:sz w:val="24"/>
          <w:szCs w:val="24"/>
          <w:highlight w:val="none"/>
          <w:u w:val="none"/>
        </w:rPr>
        <w:t>原厂零部件(不可抗力情况除外)。对更换下来的电子器件应由</w:t>
      </w:r>
      <w:r>
        <w:rPr>
          <w:rFonts w:hint="eastAsia" w:asciiTheme="minorEastAsia" w:hAnsiTheme="minorEastAsia" w:eastAsiaTheme="minorEastAsia" w:cstheme="minorEastAsia"/>
          <w:b w:val="0"/>
          <w:bCs w:val="0"/>
          <w:sz w:val="24"/>
          <w:szCs w:val="24"/>
          <w:highlight w:val="none"/>
          <w:u w:val="none"/>
          <w:lang w:eastAsia="zh-CN"/>
        </w:rPr>
        <w:t>甲方</w:t>
      </w:r>
      <w:r>
        <w:rPr>
          <w:rFonts w:hint="eastAsia" w:asciiTheme="minorEastAsia" w:hAnsiTheme="minorEastAsia" w:eastAsiaTheme="minorEastAsia" w:cstheme="minorEastAsia"/>
          <w:b w:val="0"/>
          <w:bCs w:val="0"/>
          <w:sz w:val="24"/>
          <w:szCs w:val="24"/>
          <w:highlight w:val="none"/>
          <w:u w:val="none"/>
        </w:rPr>
        <w:t>保管或由</w:t>
      </w:r>
      <w:r>
        <w:rPr>
          <w:rFonts w:hint="eastAsia" w:asciiTheme="minorEastAsia" w:hAnsiTheme="minorEastAsia" w:eastAsiaTheme="minorEastAsia" w:cstheme="minorEastAsia"/>
          <w:b w:val="0"/>
          <w:bCs w:val="0"/>
          <w:sz w:val="24"/>
          <w:szCs w:val="24"/>
          <w:highlight w:val="none"/>
          <w:u w:val="none"/>
          <w:lang w:eastAsia="zh-CN"/>
        </w:rPr>
        <w:t>甲方</w:t>
      </w:r>
      <w:r>
        <w:rPr>
          <w:rFonts w:hint="eastAsia" w:asciiTheme="minorEastAsia" w:hAnsiTheme="minorEastAsia" w:eastAsiaTheme="minorEastAsia" w:cstheme="minorEastAsia"/>
          <w:b w:val="0"/>
          <w:bCs w:val="0"/>
          <w:sz w:val="24"/>
          <w:szCs w:val="24"/>
          <w:highlight w:val="none"/>
          <w:u w:val="none"/>
        </w:rPr>
        <w:t>与维保单位共同销毁。</w:t>
      </w:r>
    </w:p>
    <w:p w14:paraId="033E1EA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10、若中标方人员在维保或应急服务工作过程中因疏忽或失职，造成甲方电梯设备的损害及人员伤残的，中标方负责赔偿。</w:t>
      </w:r>
    </w:p>
    <w:p w14:paraId="01BFCEE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11、若出现以下情况，则在结算时按次数进行处罚：</w:t>
      </w:r>
    </w:p>
    <w:p w14:paraId="552BD7F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1)未完成保养任务，扣除总维保费的10%；</w:t>
      </w:r>
    </w:p>
    <w:p w14:paraId="09E4E2A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2)电梯出现紧急情况，如困人，未按要求到达现场每次处1000元罚款；</w:t>
      </w:r>
    </w:p>
    <w:p w14:paraId="0E82560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3)电梯非正常运行或因故障连续停止运行三天以上，每次处1000元罚款；</w:t>
      </w:r>
    </w:p>
    <w:p w14:paraId="267DA0D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4）一般故障维修严重超期，或因配件延误严重超期，每次处1000元罚款；5)由于中标方疏忽或失职，造成设备损坏、人员伤残等不良后果的，除按规定赔偿外，另外处1000元罚款；</w:t>
      </w:r>
    </w:p>
    <w:p w14:paraId="49F9724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12、中标人须提供24小时维修服务，在非正常时间内进行保养服务时，不再加收其他费用。</w:t>
      </w:r>
    </w:p>
    <w:p w14:paraId="4746FAE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13、中标方应每季度给甲方工作人员给予</w:t>
      </w:r>
      <w:r>
        <w:rPr>
          <w:rFonts w:hint="eastAsia" w:asciiTheme="minorEastAsia" w:hAnsiTheme="minorEastAsia" w:eastAsiaTheme="minorEastAsia" w:cstheme="minorEastAsia"/>
          <w:b w:val="0"/>
          <w:bCs w:val="0"/>
          <w:sz w:val="24"/>
          <w:szCs w:val="24"/>
          <w:highlight w:val="none"/>
          <w:u w:val="none"/>
        </w:rPr>
        <w:fldChar w:fldCharType="begin"/>
      </w:r>
      <w:r>
        <w:rPr>
          <w:rFonts w:hint="eastAsia" w:asciiTheme="minorEastAsia" w:hAnsiTheme="minorEastAsia" w:eastAsiaTheme="minorEastAsia" w:cstheme="minorEastAsia"/>
          <w:b w:val="0"/>
          <w:bCs w:val="0"/>
          <w:sz w:val="24"/>
          <w:szCs w:val="24"/>
          <w:highlight w:val="none"/>
          <w:u w:val="none"/>
        </w:rPr>
        <w:instrText xml:space="preserve"> HYPERLINK "http://cpro.baidu.com/cpro/ui/uijs.php?rs=1&amp;u=http%3A%2F%2Fwww%2E51test%2Enet%2Fshow%2F3147998%2Ehtml&amp;p=baidu&amp;c=news&amp;n=10&amp;t=tpclicked3_hc&amp;q=chinacpunioncpr&amp;k=%CF%FB%B7%C0%D6%AA%CA%B6&amp;k0=%CF%FB%B7%C0&amp;k1=%BA%CF%CD%AC&amp;k2=%CF%FB%B7%C0%C9%E8%B1%B8&amp;k3=%BA%CF%CD%AC%B7%A8&amp;k4=%CF%FB%B7%C0%D6%AA%CA%B6&amp;k5=%C3%F0%BB%F0&amp;sid=d88f3ce14a38450a&amp;ch=0&amp;tu=u1305503&amp;jk=0218553c2544d3b2&amp;cf=1&amp;fv=11&amp;stid=9&amp;urlid=0&amp;luki=5" \t "_blank" </w:instrText>
      </w:r>
      <w:r>
        <w:rPr>
          <w:rFonts w:hint="eastAsia" w:asciiTheme="minorEastAsia" w:hAnsiTheme="minorEastAsia" w:eastAsiaTheme="minorEastAsia" w:cstheme="minorEastAsia"/>
          <w:b w:val="0"/>
          <w:bCs w:val="0"/>
          <w:sz w:val="24"/>
          <w:szCs w:val="24"/>
          <w:highlight w:val="none"/>
          <w:u w:val="none"/>
        </w:rPr>
        <w:fldChar w:fldCharType="separate"/>
      </w:r>
      <w:r>
        <w:rPr>
          <w:rFonts w:hint="eastAsia" w:asciiTheme="minorEastAsia" w:hAnsiTheme="minorEastAsia" w:eastAsiaTheme="minorEastAsia" w:cstheme="minorEastAsia"/>
          <w:b w:val="0"/>
          <w:bCs w:val="0"/>
          <w:sz w:val="24"/>
          <w:szCs w:val="24"/>
          <w:highlight w:val="none"/>
          <w:u w:val="none"/>
        </w:rPr>
        <w:t>电梯知识</w:t>
      </w:r>
      <w:r>
        <w:rPr>
          <w:rFonts w:hint="eastAsia" w:asciiTheme="minorEastAsia" w:hAnsiTheme="minorEastAsia" w:eastAsiaTheme="minorEastAsia" w:cstheme="minorEastAsia"/>
          <w:b w:val="0"/>
          <w:bCs w:val="0"/>
          <w:sz w:val="24"/>
          <w:szCs w:val="24"/>
          <w:highlight w:val="none"/>
          <w:u w:val="none"/>
        </w:rPr>
        <w:fldChar w:fldCharType="end"/>
      </w:r>
      <w:r>
        <w:rPr>
          <w:rFonts w:hint="eastAsia" w:asciiTheme="minorEastAsia" w:hAnsiTheme="minorEastAsia" w:eastAsiaTheme="minorEastAsia" w:cstheme="minorEastAsia"/>
          <w:b w:val="0"/>
          <w:bCs w:val="0"/>
          <w:sz w:val="24"/>
          <w:szCs w:val="24"/>
          <w:highlight w:val="none"/>
          <w:u w:val="none"/>
        </w:rPr>
        <w:t>、电梯操作、电梯应急情况处理等方面提供1次培训，每次不得少于2个课时。</w:t>
      </w:r>
    </w:p>
    <w:p w14:paraId="10BF55B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14、投标人中标后，须委派专业维修人员在溧水区内24小时驻足。驻点服务的人员数量按每30台不少于1人标准配备（但修理时须有2人及以上持证人员在场），并提供驻点人员的姓名、通迅号码并提供他们有效的特种设备作业人员资格证书复印件（须加盖聘用单位印章及社保证明并每三月更新一次）</w:t>
      </w:r>
    </w:p>
    <w:p w14:paraId="31DEAF1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15、中标方维护保养人员进入医院内进行维修保养工作时必须佩带正式工人证件并遵守医院的有关规定及管理制度，由于中标方原因出现非法违章作业，一切后果由中标方承担。</w:t>
      </w:r>
    </w:p>
    <w:p w14:paraId="70CA16D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16、在日常维护保养期届满时，须经法定定期检验并无因维护保养原因的不合格项目存在。</w:t>
      </w:r>
    </w:p>
    <w:p w14:paraId="71E6876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17、保证在任何情况下不损坏甲方及业主或他人的任何设施、财产，若发生并查证确属中标方原因造成的损坏，中标方应负责给予修复、更换和赔偿。</w:t>
      </w:r>
    </w:p>
    <w:p w14:paraId="1A9558A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18、中标方维护保养的电梯无法通过相关单位检查、验收的，由中标方负责，并承担法律责任和经济处罚。</w:t>
      </w:r>
    </w:p>
    <w:p w14:paraId="40BA215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 xml:space="preserve">19、中标方工作人员应注意安全操作，如发生人身伤亡、财产损失由中标方承担相应责任。 </w:t>
      </w:r>
    </w:p>
    <w:p w14:paraId="4058B38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20、如因使用不当造成电梯故障或损坏，中标单位有责任及时将其修复，使电梯恢复安全、正常运行。</w:t>
      </w:r>
    </w:p>
    <w:p w14:paraId="5988E35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21、</w:t>
      </w:r>
      <w:r>
        <w:rPr>
          <w:rFonts w:hint="eastAsia" w:asciiTheme="minorEastAsia" w:hAnsiTheme="minorEastAsia" w:eastAsiaTheme="minorEastAsia" w:cstheme="minorEastAsia"/>
          <w:b w:val="0"/>
          <w:bCs w:val="0"/>
          <w:color w:val="FF0000"/>
          <w:sz w:val="24"/>
          <w:szCs w:val="24"/>
          <w:highlight w:val="none"/>
          <w:u w:val="none"/>
        </w:rPr>
        <w:t>500元（含）人民币以内的维修</w:t>
      </w:r>
      <w:r>
        <w:rPr>
          <w:rFonts w:hint="eastAsia" w:asciiTheme="minorEastAsia" w:hAnsiTheme="minorEastAsia" w:eastAsiaTheme="minorEastAsia" w:cstheme="minorEastAsia"/>
          <w:b w:val="0"/>
          <w:bCs w:val="0"/>
          <w:sz w:val="24"/>
          <w:szCs w:val="24"/>
          <w:highlight w:val="none"/>
          <w:u w:val="none"/>
        </w:rPr>
        <w:t>招标人将不再另外支付维修费用，中标方保证及时供应及提供送货上门服务；所有配件必须是原厂家生产。投标时请提供原厂零部件价格清单，若不提供按无效标处理。</w:t>
      </w:r>
    </w:p>
    <w:p w14:paraId="5DB8BD0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eastAsia="zh-CN"/>
        </w:rPr>
        <w:t>（</w:t>
      </w:r>
      <w:r>
        <w:rPr>
          <w:rFonts w:hint="eastAsia" w:asciiTheme="minorEastAsia" w:hAnsiTheme="minorEastAsia" w:eastAsiaTheme="minorEastAsia" w:cstheme="minorEastAsia"/>
          <w:b w:val="0"/>
          <w:bCs w:val="0"/>
          <w:sz w:val="24"/>
          <w:szCs w:val="24"/>
          <w:highlight w:val="none"/>
          <w:u w:val="none"/>
          <w:lang w:val="en-US" w:eastAsia="zh-CN"/>
        </w:rPr>
        <w:t>三</w:t>
      </w:r>
      <w:r>
        <w:rPr>
          <w:rFonts w:hint="eastAsia" w:asciiTheme="minorEastAsia" w:hAnsiTheme="minorEastAsia" w:eastAsiaTheme="minorEastAsia" w:cstheme="minorEastAsia"/>
          <w:b w:val="0"/>
          <w:bCs w:val="0"/>
          <w:sz w:val="24"/>
          <w:szCs w:val="24"/>
          <w:highlight w:val="none"/>
          <w:u w:val="none"/>
          <w:lang w:eastAsia="zh-CN"/>
        </w:rPr>
        <w:t>）</w:t>
      </w:r>
      <w:r>
        <w:rPr>
          <w:rFonts w:hint="eastAsia" w:asciiTheme="minorEastAsia" w:hAnsiTheme="minorEastAsia" w:eastAsiaTheme="minorEastAsia" w:cstheme="minorEastAsia"/>
          <w:b w:val="0"/>
          <w:bCs w:val="0"/>
          <w:sz w:val="24"/>
          <w:szCs w:val="24"/>
          <w:highlight w:val="none"/>
          <w:u w:val="none"/>
        </w:rPr>
        <w:t>日常维护保养应遵守的标准</w:t>
      </w:r>
    </w:p>
    <w:p w14:paraId="58FD637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1、电梯使用管理与维修保养规则TSG T5001-2009</w:t>
      </w:r>
    </w:p>
    <w:p w14:paraId="3C95CCA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 xml:space="preserve">2、地方电梯维修保养安全管理规范 </w:t>
      </w:r>
    </w:p>
    <w:p w14:paraId="4ED7503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3、电梯维修规范GB/T18775-2002</w:t>
      </w:r>
    </w:p>
    <w:p w14:paraId="5B1024F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4、电梯安装使用维护说明书</w:t>
      </w:r>
    </w:p>
    <w:p w14:paraId="3966B09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5、维保合同</w:t>
      </w:r>
    </w:p>
    <w:p w14:paraId="4041BBB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eastAsia="zh-CN"/>
        </w:rPr>
        <w:t>（</w:t>
      </w:r>
      <w:r>
        <w:rPr>
          <w:rFonts w:hint="eastAsia" w:asciiTheme="minorEastAsia" w:hAnsiTheme="minorEastAsia" w:eastAsiaTheme="minorEastAsia" w:cstheme="minorEastAsia"/>
          <w:b w:val="0"/>
          <w:bCs w:val="0"/>
          <w:sz w:val="24"/>
          <w:szCs w:val="24"/>
          <w:highlight w:val="none"/>
          <w:u w:val="none"/>
          <w:lang w:val="en-US" w:eastAsia="zh-CN"/>
        </w:rPr>
        <w:t>四</w:t>
      </w:r>
      <w:r>
        <w:rPr>
          <w:rFonts w:hint="eastAsia" w:asciiTheme="minorEastAsia" w:hAnsiTheme="minorEastAsia" w:eastAsiaTheme="minorEastAsia" w:cstheme="minorEastAsia"/>
          <w:b w:val="0"/>
          <w:bCs w:val="0"/>
          <w:sz w:val="24"/>
          <w:szCs w:val="24"/>
          <w:highlight w:val="none"/>
          <w:u w:val="none"/>
          <w:lang w:eastAsia="zh-CN"/>
        </w:rPr>
        <w:t>）</w:t>
      </w:r>
      <w:r>
        <w:rPr>
          <w:rFonts w:hint="eastAsia" w:asciiTheme="minorEastAsia" w:hAnsiTheme="minorEastAsia" w:eastAsiaTheme="minorEastAsia" w:cstheme="minorEastAsia"/>
          <w:b w:val="0"/>
          <w:bCs w:val="0"/>
          <w:sz w:val="24"/>
          <w:szCs w:val="24"/>
          <w:highlight w:val="none"/>
          <w:u w:val="none"/>
        </w:rPr>
        <w:t>综合说明及其它要求：</w:t>
      </w:r>
    </w:p>
    <w:p w14:paraId="6D2CD85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1、响应单位提供的维保方案能够达到采购单位要求，同时明确详细的服务内容。</w:t>
      </w:r>
    </w:p>
    <w:p w14:paraId="2654AC2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2、响应单位必须承诺采购文件中提出的全部设计要求，如果其中某些条款不响应时，应在文件中逐条列出，未列出的视同响应。</w:t>
      </w:r>
    </w:p>
    <w:p w14:paraId="0A5C72F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 xml:space="preserve">3、供应商必须按照采购文件要求配置工作人员数量，并按照《劳动法》及南京市的有关规定支付工资、节假加班费和交纳正常的社会保险， </w:t>
      </w:r>
    </w:p>
    <w:p w14:paraId="3D91BE1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4、响应单位应对所响应项目的全部内容进行报价，只报其中部分内容者，其响应文件将被拒绝。响应报价包括在服务期内所需的劳务支出、保险、加班费、福利费、配套费用、税费及服务相关等所发生的全部费用以及响应供应商企业利润、税金和政策性文件规定及合同包含的所有风险、责任等各项应有费用。</w:t>
      </w:r>
    </w:p>
    <w:p w14:paraId="1B86D7A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5、中标单位派专门的管理人员对全部服务人员进行全面管理，并积极主动地与采购单位协调做好安全防范工作。</w:t>
      </w:r>
    </w:p>
    <w:p w14:paraId="641BE76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6、分包与转包：本项目禁止整体或部分分包或转包。</w:t>
      </w:r>
    </w:p>
    <w:p w14:paraId="6520412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7、报价要求：投标总报价一次报定，包括电梯维保服务</w:t>
      </w:r>
      <w:r>
        <w:rPr>
          <w:rFonts w:hint="eastAsia" w:asciiTheme="minorEastAsia" w:hAnsiTheme="minorEastAsia" w:eastAsiaTheme="minorEastAsia" w:cstheme="minorEastAsia"/>
          <w:b w:val="0"/>
          <w:bCs w:val="0"/>
          <w:sz w:val="24"/>
          <w:szCs w:val="24"/>
          <w:highlight w:val="none"/>
          <w:u w:val="none"/>
          <w:lang w:eastAsia="zh-CN"/>
        </w:rPr>
        <w:t>，含</w:t>
      </w:r>
      <w:r>
        <w:rPr>
          <w:rFonts w:hint="eastAsia" w:asciiTheme="minorEastAsia" w:hAnsiTheme="minorEastAsia" w:eastAsiaTheme="minorEastAsia" w:cstheme="minorEastAsia"/>
          <w:b w:val="0"/>
          <w:bCs w:val="0"/>
          <w:sz w:val="24"/>
          <w:szCs w:val="24"/>
          <w:highlight w:val="none"/>
          <w:u w:val="none"/>
        </w:rPr>
        <w:t>保险、税金、培训、日常养护、辅助材料、专用工具、报关等费用。</w:t>
      </w:r>
    </w:p>
    <w:p w14:paraId="34978F0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8、知识产权：</w:t>
      </w:r>
    </w:p>
    <w:p w14:paraId="2681733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中标人应保证采购人免除且中标人承担由于采购人在其本国使用该设备或设备任何一部分时而引起第三方提出的侵犯专利权、商标权或工业设计权的起诉、行动、行政程序索赔、请求等以及采购人为此而产生的损失和损害、费用和支出（包括律师费）。</w:t>
      </w:r>
    </w:p>
    <w:p w14:paraId="448043C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9、投标人必须承诺响应采购文件中提出的全部技术规格与要求；如果以其中某些条款不响应时，应在文件中逐条列出，未列出的视同响应。</w:t>
      </w:r>
    </w:p>
    <w:p w14:paraId="71E945E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10、投标文件以中文资料为准。</w:t>
      </w:r>
    </w:p>
    <w:p w14:paraId="58C348C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11、采购文件和投标文件是合同的不可分割的部分。</w:t>
      </w:r>
    </w:p>
    <w:p w14:paraId="7C355C1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12、其他优惠条件，请予以书面说明。</w:t>
      </w:r>
    </w:p>
    <w:p w14:paraId="63AA687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13、中标人全部服务人员劳动合同须严格按《中华人民共和国劳动法》执行，全部服务人员应严格按国家有关法律、法规要求的标准、基数和比列缴纳养老金、医疗保险、失业保险、工伤、生育险等福利并需向采购人提供缴纳各类员工福利证明复印件。</w:t>
      </w:r>
    </w:p>
    <w:p w14:paraId="540D58E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14、中标人在合同期内如因考核不合格或其他原因提前退场的，则须无条件配合甲方做好交接工作。</w:t>
      </w:r>
    </w:p>
    <w:p w14:paraId="0FE9A515">
      <w:pPr>
        <w:pStyle w:val="2"/>
      </w:pPr>
    </w:p>
    <w:p w14:paraId="2851473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附件A</w:t>
      </w:r>
    </w:p>
    <w:p w14:paraId="609DC8B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曳引与强制驱动电梯维护保养项目（内容）和要求</w:t>
      </w:r>
    </w:p>
    <w:p w14:paraId="0EA44A8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A1  半月维护保养项目（内容）和要求</w:t>
      </w:r>
    </w:p>
    <w:p w14:paraId="6333BC7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 xml:space="preserve">半月维护保养项目（内容）和要求见表A-1。                                                                                </w:t>
      </w:r>
    </w:p>
    <w:p w14:paraId="341BBF5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表A-1   半月维护保养项目（内容）和要求</w:t>
      </w:r>
    </w:p>
    <w:tbl>
      <w:tblPr>
        <w:tblStyle w:val="1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3634"/>
        <w:gridCol w:w="5540"/>
      </w:tblGrid>
      <w:tr w14:paraId="37DE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top w:val="single" w:color="auto" w:sz="12" w:space="0"/>
              <w:left w:val="single" w:color="auto" w:sz="12" w:space="0"/>
            </w:tcBorders>
            <w:noWrap/>
            <w:vAlign w:val="center"/>
          </w:tcPr>
          <w:p w14:paraId="71A8085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序号</w:t>
            </w:r>
          </w:p>
        </w:tc>
        <w:tc>
          <w:tcPr>
            <w:tcW w:w="3634" w:type="dxa"/>
            <w:tcBorders>
              <w:top w:val="single" w:color="auto" w:sz="12" w:space="0"/>
            </w:tcBorders>
            <w:noWrap w:val="0"/>
            <w:vAlign w:val="center"/>
          </w:tcPr>
          <w:p w14:paraId="23FD268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维护保养项目（内容）</w:t>
            </w:r>
          </w:p>
        </w:tc>
        <w:tc>
          <w:tcPr>
            <w:tcW w:w="5540" w:type="dxa"/>
            <w:tcBorders>
              <w:top w:val="single" w:color="auto" w:sz="12" w:space="0"/>
              <w:right w:val="single" w:color="auto" w:sz="12" w:space="0"/>
            </w:tcBorders>
            <w:noWrap/>
            <w:vAlign w:val="center"/>
          </w:tcPr>
          <w:p w14:paraId="31F32A6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维护保养基本要求</w:t>
            </w:r>
          </w:p>
        </w:tc>
      </w:tr>
      <w:tr w14:paraId="5FCAD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6718C14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w:t>
            </w:r>
          </w:p>
        </w:tc>
        <w:tc>
          <w:tcPr>
            <w:tcW w:w="3634" w:type="dxa"/>
            <w:noWrap w:val="0"/>
            <w:vAlign w:val="center"/>
          </w:tcPr>
          <w:p w14:paraId="10A0800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机房、滑轮间环境</w:t>
            </w:r>
          </w:p>
        </w:tc>
        <w:tc>
          <w:tcPr>
            <w:tcW w:w="5540" w:type="dxa"/>
            <w:tcBorders>
              <w:right w:val="single" w:color="auto" w:sz="12" w:space="0"/>
            </w:tcBorders>
            <w:noWrap/>
            <w:vAlign w:val="center"/>
          </w:tcPr>
          <w:p w14:paraId="22F093C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 xml:space="preserve">清洁，门窗完好、照明正常 </w:t>
            </w:r>
          </w:p>
        </w:tc>
      </w:tr>
      <w:tr w14:paraId="0A21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412F2CB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w:t>
            </w:r>
          </w:p>
        </w:tc>
        <w:tc>
          <w:tcPr>
            <w:tcW w:w="3634" w:type="dxa"/>
            <w:noWrap w:val="0"/>
            <w:vAlign w:val="center"/>
          </w:tcPr>
          <w:p w14:paraId="142DE56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手动紧急操作装置</w:t>
            </w:r>
          </w:p>
        </w:tc>
        <w:tc>
          <w:tcPr>
            <w:tcW w:w="5540" w:type="dxa"/>
            <w:tcBorders>
              <w:right w:val="single" w:color="auto" w:sz="12" w:space="0"/>
            </w:tcBorders>
            <w:noWrap/>
            <w:vAlign w:val="center"/>
          </w:tcPr>
          <w:p w14:paraId="2C128DE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齐全，在指定位置</w:t>
            </w:r>
          </w:p>
        </w:tc>
      </w:tr>
      <w:tr w14:paraId="31DAB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1AB32E5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3</w:t>
            </w:r>
          </w:p>
        </w:tc>
        <w:tc>
          <w:tcPr>
            <w:tcW w:w="3634" w:type="dxa"/>
            <w:noWrap w:val="0"/>
            <w:vAlign w:val="center"/>
          </w:tcPr>
          <w:p w14:paraId="6F13919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驱动主机</w:t>
            </w:r>
          </w:p>
        </w:tc>
        <w:tc>
          <w:tcPr>
            <w:tcW w:w="5540" w:type="dxa"/>
            <w:tcBorders>
              <w:right w:val="single" w:color="auto" w:sz="12" w:space="0"/>
            </w:tcBorders>
            <w:noWrap/>
            <w:vAlign w:val="center"/>
          </w:tcPr>
          <w:p w14:paraId="7A987FC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运行时无异常振动和异常声响</w:t>
            </w:r>
          </w:p>
        </w:tc>
      </w:tr>
      <w:tr w14:paraId="12D1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6F5BE98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4</w:t>
            </w:r>
          </w:p>
        </w:tc>
        <w:tc>
          <w:tcPr>
            <w:tcW w:w="3634" w:type="dxa"/>
            <w:noWrap w:val="0"/>
            <w:vAlign w:val="center"/>
          </w:tcPr>
          <w:p w14:paraId="28F8335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制动器各销轴部位</w:t>
            </w:r>
          </w:p>
        </w:tc>
        <w:tc>
          <w:tcPr>
            <w:tcW w:w="5540" w:type="dxa"/>
            <w:tcBorders>
              <w:right w:val="single" w:color="auto" w:sz="12" w:space="0"/>
            </w:tcBorders>
            <w:noWrap/>
            <w:vAlign w:val="center"/>
          </w:tcPr>
          <w:p w14:paraId="72DFB83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动作灵活</w:t>
            </w:r>
          </w:p>
        </w:tc>
      </w:tr>
      <w:tr w14:paraId="58F2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382D2E4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5</w:t>
            </w:r>
          </w:p>
        </w:tc>
        <w:tc>
          <w:tcPr>
            <w:tcW w:w="3634" w:type="dxa"/>
            <w:noWrap w:val="0"/>
            <w:vAlign w:val="center"/>
          </w:tcPr>
          <w:p w14:paraId="3FD096E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制动器间隙</w:t>
            </w:r>
          </w:p>
        </w:tc>
        <w:tc>
          <w:tcPr>
            <w:tcW w:w="5540" w:type="dxa"/>
            <w:tcBorders>
              <w:right w:val="single" w:color="auto" w:sz="12" w:space="0"/>
            </w:tcBorders>
            <w:noWrap/>
            <w:vAlign w:val="center"/>
          </w:tcPr>
          <w:p w14:paraId="52E775E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打开时制动衬与制动轮不应发生摩擦，间隙值符合制造单位要求</w:t>
            </w:r>
          </w:p>
        </w:tc>
      </w:tr>
      <w:tr w14:paraId="749EB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51659B7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6</w:t>
            </w:r>
          </w:p>
        </w:tc>
        <w:tc>
          <w:tcPr>
            <w:tcW w:w="3634" w:type="dxa"/>
            <w:noWrap w:val="0"/>
            <w:vAlign w:val="center"/>
          </w:tcPr>
          <w:p w14:paraId="79CDF07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制动器作为轿厢意外移动保护装置制停子系统时的自监测</w:t>
            </w:r>
          </w:p>
        </w:tc>
        <w:tc>
          <w:tcPr>
            <w:tcW w:w="5540" w:type="dxa"/>
            <w:tcBorders>
              <w:right w:val="single" w:color="auto" w:sz="12" w:space="0"/>
            </w:tcBorders>
            <w:noWrap/>
            <w:vAlign w:val="center"/>
          </w:tcPr>
          <w:p w14:paraId="65B15CF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制动力人工方式检测符合使用维护说明书要求；制动力自监测系统有记录</w:t>
            </w:r>
          </w:p>
        </w:tc>
      </w:tr>
      <w:tr w14:paraId="6AD62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156B11E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7</w:t>
            </w:r>
          </w:p>
        </w:tc>
        <w:tc>
          <w:tcPr>
            <w:tcW w:w="3634" w:type="dxa"/>
            <w:noWrap w:val="0"/>
            <w:vAlign w:val="center"/>
          </w:tcPr>
          <w:p w14:paraId="379527D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编码器</w:t>
            </w:r>
          </w:p>
        </w:tc>
        <w:tc>
          <w:tcPr>
            <w:tcW w:w="5540" w:type="dxa"/>
            <w:tcBorders>
              <w:right w:val="single" w:color="auto" w:sz="12" w:space="0"/>
            </w:tcBorders>
            <w:noWrap/>
            <w:vAlign w:val="center"/>
          </w:tcPr>
          <w:p w14:paraId="4CA51DE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清洁，安装牢固</w:t>
            </w:r>
          </w:p>
        </w:tc>
      </w:tr>
      <w:tr w14:paraId="04F90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3FA5090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8</w:t>
            </w:r>
          </w:p>
        </w:tc>
        <w:tc>
          <w:tcPr>
            <w:tcW w:w="3634" w:type="dxa"/>
            <w:noWrap w:val="0"/>
            <w:vAlign w:val="center"/>
          </w:tcPr>
          <w:p w14:paraId="0B90F33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限速器各销轴部位</w:t>
            </w:r>
          </w:p>
        </w:tc>
        <w:tc>
          <w:tcPr>
            <w:tcW w:w="5540" w:type="dxa"/>
            <w:tcBorders>
              <w:right w:val="single" w:color="auto" w:sz="12" w:space="0"/>
            </w:tcBorders>
            <w:noWrap/>
            <w:vAlign w:val="center"/>
          </w:tcPr>
          <w:p w14:paraId="71C91D9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润滑，转动灵活；电气开关正常</w:t>
            </w:r>
          </w:p>
        </w:tc>
      </w:tr>
      <w:tr w14:paraId="1001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2138A6A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9</w:t>
            </w:r>
          </w:p>
        </w:tc>
        <w:tc>
          <w:tcPr>
            <w:tcW w:w="3634" w:type="dxa"/>
            <w:noWrap w:val="0"/>
            <w:vAlign w:val="center"/>
          </w:tcPr>
          <w:p w14:paraId="7B4176D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层门和轿门旁路装置</w:t>
            </w:r>
          </w:p>
        </w:tc>
        <w:tc>
          <w:tcPr>
            <w:tcW w:w="5540" w:type="dxa"/>
            <w:tcBorders>
              <w:right w:val="single" w:color="auto" w:sz="12" w:space="0"/>
            </w:tcBorders>
            <w:noWrap/>
            <w:vAlign w:val="center"/>
          </w:tcPr>
          <w:p w14:paraId="78A4BA7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工作正常</w:t>
            </w:r>
          </w:p>
        </w:tc>
      </w:tr>
      <w:tr w14:paraId="5D8C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75AB342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10</w:t>
            </w:r>
          </w:p>
        </w:tc>
        <w:tc>
          <w:tcPr>
            <w:tcW w:w="3634" w:type="dxa"/>
            <w:noWrap w:val="0"/>
            <w:vAlign w:val="center"/>
          </w:tcPr>
          <w:p w14:paraId="6A00793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紧急电动运行</w:t>
            </w:r>
          </w:p>
        </w:tc>
        <w:tc>
          <w:tcPr>
            <w:tcW w:w="5540" w:type="dxa"/>
            <w:tcBorders>
              <w:right w:val="single" w:color="auto" w:sz="12" w:space="0"/>
            </w:tcBorders>
            <w:noWrap/>
            <w:vAlign w:val="center"/>
          </w:tcPr>
          <w:p w14:paraId="31E0025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工作正常</w:t>
            </w:r>
          </w:p>
        </w:tc>
      </w:tr>
      <w:tr w14:paraId="035D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0CD2769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11</w:t>
            </w:r>
          </w:p>
        </w:tc>
        <w:tc>
          <w:tcPr>
            <w:tcW w:w="3634" w:type="dxa"/>
            <w:noWrap w:val="0"/>
            <w:vAlign w:val="center"/>
          </w:tcPr>
          <w:p w14:paraId="3139F49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轿顶</w:t>
            </w:r>
          </w:p>
        </w:tc>
        <w:tc>
          <w:tcPr>
            <w:tcW w:w="5540" w:type="dxa"/>
            <w:tcBorders>
              <w:right w:val="single" w:color="auto" w:sz="12" w:space="0"/>
            </w:tcBorders>
            <w:noWrap/>
            <w:vAlign w:val="center"/>
          </w:tcPr>
          <w:p w14:paraId="1340573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清洁，防护栏安全可靠</w:t>
            </w:r>
          </w:p>
        </w:tc>
      </w:tr>
      <w:tr w14:paraId="3E9B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4EE2528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12</w:t>
            </w:r>
          </w:p>
        </w:tc>
        <w:tc>
          <w:tcPr>
            <w:tcW w:w="3634" w:type="dxa"/>
            <w:noWrap w:val="0"/>
            <w:vAlign w:val="center"/>
          </w:tcPr>
          <w:p w14:paraId="20BC6D5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轿顶检修开关、停止装置</w:t>
            </w:r>
          </w:p>
        </w:tc>
        <w:tc>
          <w:tcPr>
            <w:tcW w:w="5540" w:type="dxa"/>
            <w:tcBorders>
              <w:right w:val="single" w:color="auto" w:sz="12" w:space="0"/>
            </w:tcBorders>
            <w:noWrap/>
            <w:vAlign w:val="center"/>
          </w:tcPr>
          <w:p w14:paraId="1AEC1FC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工作正常</w:t>
            </w:r>
          </w:p>
        </w:tc>
      </w:tr>
      <w:tr w14:paraId="730E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309E6FC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13</w:t>
            </w:r>
          </w:p>
        </w:tc>
        <w:tc>
          <w:tcPr>
            <w:tcW w:w="3634" w:type="dxa"/>
            <w:noWrap w:val="0"/>
            <w:vAlign w:val="center"/>
          </w:tcPr>
          <w:p w14:paraId="1DAC31D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导靴上油杯</w:t>
            </w:r>
          </w:p>
        </w:tc>
        <w:tc>
          <w:tcPr>
            <w:tcW w:w="5540" w:type="dxa"/>
            <w:tcBorders>
              <w:right w:val="single" w:color="auto" w:sz="12" w:space="0"/>
            </w:tcBorders>
            <w:noWrap/>
            <w:vAlign w:val="center"/>
          </w:tcPr>
          <w:p w14:paraId="7C2ABF9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吸油毛毡齐全，油量适宜，油杯无泄漏</w:t>
            </w:r>
          </w:p>
        </w:tc>
      </w:tr>
      <w:tr w14:paraId="6A14A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56" w:type="dxa"/>
            <w:tcBorders>
              <w:left w:val="single" w:color="auto" w:sz="12" w:space="0"/>
            </w:tcBorders>
            <w:noWrap/>
            <w:vAlign w:val="center"/>
          </w:tcPr>
          <w:p w14:paraId="7EB6786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14</w:t>
            </w:r>
          </w:p>
        </w:tc>
        <w:tc>
          <w:tcPr>
            <w:tcW w:w="3634" w:type="dxa"/>
            <w:noWrap w:val="0"/>
            <w:vAlign w:val="center"/>
          </w:tcPr>
          <w:p w14:paraId="1B71ECA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对重/平衡重块及其压板</w:t>
            </w:r>
          </w:p>
        </w:tc>
        <w:tc>
          <w:tcPr>
            <w:tcW w:w="5540" w:type="dxa"/>
            <w:tcBorders>
              <w:right w:val="single" w:color="auto" w:sz="12" w:space="0"/>
            </w:tcBorders>
            <w:noWrap/>
            <w:vAlign w:val="center"/>
          </w:tcPr>
          <w:p w14:paraId="7244237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对重/平衡重块无松动，压板紧固。</w:t>
            </w:r>
          </w:p>
        </w:tc>
      </w:tr>
      <w:tr w14:paraId="3334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310962D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15</w:t>
            </w:r>
          </w:p>
        </w:tc>
        <w:tc>
          <w:tcPr>
            <w:tcW w:w="3634" w:type="dxa"/>
            <w:noWrap w:val="0"/>
            <w:vAlign w:val="center"/>
          </w:tcPr>
          <w:p w14:paraId="306BDB8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井道照明</w:t>
            </w:r>
          </w:p>
        </w:tc>
        <w:tc>
          <w:tcPr>
            <w:tcW w:w="5540" w:type="dxa"/>
            <w:tcBorders>
              <w:right w:val="single" w:color="auto" w:sz="12" w:space="0"/>
            </w:tcBorders>
            <w:noWrap/>
            <w:vAlign w:val="center"/>
          </w:tcPr>
          <w:p w14:paraId="0B92300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齐全、正常</w:t>
            </w:r>
          </w:p>
        </w:tc>
      </w:tr>
      <w:tr w14:paraId="02619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21AA912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16</w:t>
            </w:r>
          </w:p>
        </w:tc>
        <w:tc>
          <w:tcPr>
            <w:tcW w:w="3634" w:type="dxa"/>
            <w:noWrap w:val="0"/>
            <w:vAlign w:val="center"/>
          </w:tcPr>
          <w:p w14:paraId="46F3A07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轿厢照明、风扇、应急照明</w:t>
            </w:r>
          </w:p>
        </w:tc>
        <w:tc>
          <w:tcPr>
            <w:tcW w:w="5540" w:type="dxa"/>
            <w:tcBorders>
              <w:right w:val="single" w:color="auto" w:sz="12" w:space="0"/>
            </w:tcBorders>
            <w:noWrap/>
            <w:vAlign w:val="center"/>
          </w:tcPr>
          <w:p w14:paraId="15BC962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工作正常</w:t>
            </w:r>
          </w:p>
        </w:tc>
      </w:tr>
      <w:tr w14:paraId="6CA6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1BD098E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17</w:t>
            </w:r>
          </w:p>
        </w:tc>
        <w:tc>
          <w:tcPr>
            <w:tcW w:w="3634" w:type="dxa"/>
            <w:noWrap w:val="0"/>
            <w:vAlign w:val="center"/>
          </w:tcPr>
          <w:p w14:paraId="013EED4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轿厢检修开关、停止装置</w:t>
            </w:r>
          </w:p>
        </w:tc>
        <w:tc>
          <w:tcPr>
            <w:tcW w:w="5540" w:type="dxa"/>
            <w:tcBorders>
              <w:right w:val="single" w:color="auto" w:sz="12" w:space="0"/>
            </w:tcBorders>
            <w:noWrap/>
            <w:vAlign w:val="center"/>
          </w:tcPr>
          <w:p w14:paraId="291CF1C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工作正常</w:t>
            </w:r>
          </w:p>
        </w:tc>
      </w:tr>
      <w:tr w14:paraId="0F8E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13C4F84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18</w:t>
            </w:r>
          </w:p>
        </w:tc>
        <w:tc>
          <w:tcPr>
            <w:tcW w:w="3634" w:type="dxa"/>
            <w:noWrap w:val="0"/>
            <w:vAlign w:val="center"/>
          </w:tcPr>
          <w:p w14:paraId="1BFC23E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轿内报警装置、对讲系统</w:t>
            </w:r>
          </w:p>
        </w:tc>
        <w:tc>
          <w:tcPr>
            <w:tcW w:w="5540" w:type="dxa"/>
            <w:tcBorders>
              <w:right w:val="single" w:color="auto" w:sz="12" w:space="0"/>
            </w:tcBorders>
            <w:noWrap/>
            <w:vAlign w:val="center"/>
          </w:tcPr>
          <w:p w14:paraId="78BEFFB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工作正常</w:t>
            </w:r>
          </w:p>
        </w:tc>
      </w:tr>
      <w:tr w14:paraId="63AA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0C62778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19</w:t>
            </w:r>
          </w:p>
        </w:tc>
        <w:tc>
          <w:tcPr>
            <w:tcW w:w="3634" w:type="dxa"/>
            <w:noWrap w:val="0"/>
            <w:vAlign w:val="center"/>
          </w:tcPr>
          <w:p w14:paraId="0C7187B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轿内显示、指令按钮、IC卡系统</w:t>
            </w:r>
          </w:p>
        </w:tc>
        <w:tc>
          <w:tcPr>
            <w:tcW w:w="5540" w:type="dxa"/>
            <w:tcBorders>
              <w:right w:val="single" w:color="auto" w:sz="12" w:space="0"/>
            </w:tcBorders>
            <w:noWrap/>
            <w:vAlign w:val="center"/>
          </w:tcPr>
          <w:p w14:paraId="2ED27D7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齐全、有效</w:t>
            </w:r>
          </w:p>
        </w:tc>
      </w:tr>
      <w:tr w14:paraId="3E54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1D5C429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20</w:t>
            </w:r>
          </w:p>
        </w:tc>
        <w:tc>
          <w:tcPr>
            <w:tcW w:w="3634" w:type="dxa"/>
            <w:noWrap w:val="0"/>
            <w:vAlign w:val="center"/>
          </w:tcPr>
          <w:p w14:paraId="6E73441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轿门防撞击保护装置（安全触板，光幕、光电等）</w:t>
            </w:r>
          </w:p>
        </w:tc>
        <w:tc>
          <w:tcPr>
            <w:tcW w:w="5540" w:type="dxa"/>
            <w:tcBorders>
              <w:right w:val="single" w:color="auto" w:sz="12" w:space="0"/>
            </w:tcBorders>
            <w:noWrap/>
            <w:vAlign w:val="center"/>
          </w:tcPr>
          <w:p w14:paraId="6CDD464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功能有效</w:t>
            </w:r>
          </w:p>
        </w:tc>
      </w:tr>
      <w:tr w14:paraId="2A9D5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262271C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21</w:t>
            </w:r>
          </w:p>
        </w:tc>
        <w:tc>
          <w:tcPr>
            <w:tcW w:w="3634" w:type="dxa"/>
            <w:noWrap w:val="0"/>
            <w:vAlign w:val="center"/>
          </w:tcPr>
          <w:p w14:paraId="7B59E8E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轿门门锁电气触点</w:t>
            </w:r>
          </w:p>
        </w:tc>
        <w:tc>
          <w:tcPr>
            <w:tcW w:w="5540" w:type="dxa"/>
            <w:tcBorders>
              <w:right w:val="single" w:color="auto" w:sz="12" w:space="0"/>
            </w:tcBorders>
            <w:noWrap/>
            <w:vAlign w:val="center"/>
          </w:tcPr>
          <w:p w14:paraId="4C0F818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清洁, 触点接触良好，接线可靠</w:t>
            </w:r>
          </w:p>
        </w:tc>
      </w:tr>
      <w:tr w14:paraId="3BEC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31680EB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22</w:t>
            </w:r>
          </w:p>
        </w:tc>
        <w:tc>
          <w:tcPr>
            <w:tcW w:w="3634" w:type="dxa"/>
            <w:noWrap w:val="0"/>
            <w:vAlign w:val="center"/>
          </w:tcPr>
          <w:p w14:paraId="1B43EB7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轿门运行</w:t>
            </w:r>
          </w:p>
        </w:tc>
        <w:tc>
          <w:tcPr>
            <w:tcW w:w="5540" w:type="dxa"/>
            <w:tcBorders>
              <w:right w:val="single" w:color="auto" w:sz="12" w:space="0"/>
            </w:tcBorders>
            <w:noWrap/>
            <w:vAlign w:val="center"/>
          </w:tcPr>
          <w:p w14:paraId="369FEAF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开启和关闭工作正常</w:t>
            </w:r>
          </w:p>
        </w:tc>
      </w:tr>
      <w:tr w14:paraId="3A2A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16BE326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23</w:t>
            </w:r>
          </w:p>
        </w:tc>
        <w:tc>
          <w:tcPr>
            <w:tcW w:w="3634" w:type="dxa"/>
            <w:noWrap w:val="0"/>
            <w:vAlign w:val="center"/>
          </w:tcPr>
          <w:p w14:paraId="1FB8BC3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轿厢平层准确度</w:t>
            </w:r>
          </w:p>
        </w:tc>
        <w:tc>
          <w:tcPr>
            <w:tcW w:w="5540" w:type="dxa"/>
            <w:tcBorders>
              <w:right w:val="single" w:color="auto" w:sz="12" w:space="0"/>
            </w:tcBorders>
            <w:noWrap/>
            <w:vAlign w:val="center"/>
          </w:tcPr>
          <w:p w14:paraId="11E4C48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符合标准值</w:t>
            </w:r>
          </w:p>
        </w:tc>
      </w:tr>
      <w:tr w14:paraId="72F7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6" w:type="dxa"/>
            <w:tcBorders>
              <w:left w:val="single" w:color="auto" w:sz="12" w:space="0"/>
            </w:tcBorders>
            <w:noWrap/>
            <w:vAlign w:val="center"/>
          </w:tcPr>
          <w:p w14:paraId="5BE97EF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24</w:t>
            </w:r>
          </w:p>
        </w:tc>
        <w:tc>
          <w:tcPr>
            <w:tcW w:w="3634" w:type="dxa"/>
            <w:noWrap w:val="0"/>
            <w:vAlign w:val="center"/>
          </w:tcPr>
          <w:p w14:paraId="1406931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层站召唤、层楼显示</w:t>
            </w:r>
          </w:p>
        </w:tc>
        <w:tc>
          <w:tcPr>
            <w:tcW w:w="5540" w:type="dxa"/>
            <w:tcBorders>
              <w:right w:val="single" w:color="auto" w:sz="12" w:space="0"/>
            </w:tcBorders>
            <w:noWrap/>
            <w:vAlign w:val="center"/>
          </w:tcPr>
          <w:p w14:paraId="2F9122E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齐全、有效</w:t>
            </w:r>
          </w:p>
        </w:tc>
      </w:tr>
      <w:tr w14:paraId="4EEB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6" w:type="dxa"/>
            <w:tcBorders>
              <w:left w:val="single" w:color="auto" w:sz="12" w:space="0"/>
            </w:tcBorders>
            <w:noWrap/>
            <w:vAlign w:val="center"/>
          </w:tcPr>
          <w:p w14:paraId="488CD58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25</w:t>
            </w:r>
          </w:p>
        </w:tc>
        <w:tc>
          <w:tcPr>
            <w:tcW w:w="3634" w:type="dxa"/>
            <w:noWrap w:val="0"/>
            <w:vAlign w:val="center"/>
          </w:tcPr>
          <w:p w14:paraId="5994E8E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层门地坎</w:t>
            </w:r>
          </w:p>
        </w:tc>
        <w:tc>
          <w:tcPr>
            <w:tcW w:w="5540" w:type="dxa"/>
            <w:tcBorders>
              <w:right w:val="single" w:color="auto" w:sz="12" w:space="0"/>
            </w:tcBorders>
            <w:noWrap/>
            <w:vAlign w:val="center"/>
          </w:tcPr>
          <w:p w14:paraId="786CC3B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清洁</w:t>
            </w:r>
          </w:p>
        </w:tc>
      </w:tr>
      <w:tr w14:paraId="7664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6" w:type="dxa"/>
            <w:tcBorders>
              <w:left w:val="single" w:color="auto" w:sz="12" w:space="0"/>
            </w:tcBorders>
            <w:noWrap/>
            <w:vAlign w:val="center"/>
          </w:tcPr>
          <w:p w14:paraId="2033685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26</w:t>
            </w:r>
          </w:p>
        </w:tc>
        <w:tc>
          <w:tcPr>
            <w:tcW w:w="3634" w:type="dxa"/>
            <w:noWrap w:val="0"/>
            <w:vAlign w:val="center"/>
          </w:tcPr>
          <w:p w14:paraId="4047FB3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层门自动关门装置</w:t>
            </w:r>
          </w:p>
        </w:tc>
        <w:tc>
          <w:tcPr>
            <w:tcW w:w="5540" w:type="dxa"/>
            <w:tcBorders>
              <w:right w:val="single" w:color="auto" w:sz="12" w:space="0"/>
            </w:tcBorders>
            <w:noWrap/>
            <w:vAlign w:val="center"/>
          </w:tcPr>
          <w:p w14:paraId="30E788A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正常</w:t>
            </w:r>
          </w:p>
        </w:tc>
      </w:tr>
      <w:tr w14:paraId="6CB3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6" w:type="dxa"/>
            <w:tcBorders>
              <w:left w:val="single" w:color="auto" w:sz="12" w:space="0"/>
            </w:tcBorders>
            <w:noWrap/>
            <w:vAlign w:val="center"/>
          </w:tcPr>
          <w:p w14:paraId="6FF6370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27</w:t>
            </w:r>
          </w:p>
        </w:tc>
        <w:tc>
          <w:tcPr>
            <w:tcW w:w="3634" w:type="dxa"/>
            <w:noWrap w:val="0"/>
            <w:vAlign w:val="center"/>
          </w:tcPr>
          <w:p w14:paraId="02BBAA0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层门门锁自动复位</w:t>
            </w:r>
          </w:p>
        </w:tc>
        <w:tc>
          <w:tcPr>
            <w:tcW w:w="5540" w:type="dxa"/>
            <w:tcBorders>
              <w:right w:val="single" w:color="auto" w:sz="12" w:space="0"/>
            </w:tcBorders>
            <w:noWrap/>
            <w:vAlign w:val="center"/>
          </w:tcPr>
          <w:p w14:paraId="20A7E8A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用层门钥匙打开手动开锁装置释放后，层门门锁能自动复位</w:t>
            </w:r>
          </w:p>
        </w:tc>
      </w:tr>
      <w:tr w14:paraId="62EF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6" w:type="dxa"/>
            <w:tcBorders>
              <w:left w:val="single" w:color="auto" w:sz="12" w:space="0"/>
            </w:tcBorders>
            <w:noWrap/>
            <w:vAlign w:val="center"/>
          </w:tcPr>
          <w:p w14:paraId="65C246A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28</w:t>
            </w:r>
          </w:p>
        </w:tc>
        <w:tc>
          <w:tcPr>
            <w:tcW w:w="3634" w:type="dxa"/>
            <w:noWrap w:val="0"/>
            <w:vAlign w:val="center"/>
          </w:tcPr>
          <w:p w14:paraId="613AAD9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层门门锁电气触点</w:t>
            </w:r>
          </w:p>
        </w:tc>
        <w:tc>
          <w:tcPr>
            <w:tcW w:w="5540" w:type="dxa"/>
            <w:tcBorders>
              <w:right w:val="single" w:color="auto" w:sz="12" w:space="0"/>
            </w:tcBorders>
            <w:noWrap/>
            <w:vAlign w:val="center"/>
          </w:tcPr>
          <w:p w14:paraId="6C52473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清洁, 触点接触良好，接线可靠</w:t>
            </w:r>
          </w:p>
        </w:tc>
      </w:tr>
      <w:tr w14:paraId="3D63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6" w:type="dxa"/>
            <w:tcBorders>
              <w:left w:val="single" w:color="auto" w:sz="12" w:space="0"/>
            </w:tcBorders>
            <w:noWrap/>
            <w:vAlign w:val="center"/>
          </w:tcPr>
          <w:p w14:paraId="59562D8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29</w:t>
            </w:r>
          </w:p>
        </w:tc>
        <w:tc>
          <w:tcPr>
            <w:tcW w:w="3634" w:type="dxa"/>
            <w:noWrap w:val="0"/>
            <w:vAlign w:val="center"/>
          </w:tcPr>
          <w:p w14:paraId="4ECBB3C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层门锁紧元件啮合长度</w:t>
            </w:r>
          </w:p>
        </w:tc>
        <w:tc>
          <w:tcPr>
            <w:tcW w:w="5540" w:type="dxa"/>
            <w:tcBorders>
              <w:right w:val="single" w:color="auto" w:sz="12" w:space="0"/>
            </w:tcBorders>
            <w:noWrap/>
            <w:vAlign w:val="center"/>
          </w:tcPr>
          <w:p w14:paraId="42F8D24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不小于7mm</w:t>
            </w:r>
          </w:p>
        </w:tc>
      </w:tr>
      <w:tr w14:paraId="627A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6" w:type="dxa"/>
            <w:tcBorders>
              <w:left w:val="single" w:color="auto" w:sz="12" w:space="0"/>
            </w:tcBorders>
            <w:noWrap/>
            <w:vAlign w:val="center"/>
          </w:tcPr>
          <w:p w14:paraId="2A82CA7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30</w:t>
            </w:r>
          </w:p>
        </w:tc>
        <w:tc>
          <w:tcPr>
            <w:tcW w:w="3634" w:type="dxa"/>
            <w:noWrap w:val="0"/>
            <w:vAlign w:val="center"/>
          </w:tcPr>
          <w:p w14:paraId="3393567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底坑环境</w:t>
            </w:r>
          </w:p>
        </w:tc>
        <w:tc>
          <w:tcPr>
            <w:tcW w:w="5540" w:type="dxa"/>
            <w:tcBorders>
              <w:right w:val="single" w:color="auto" w:sz="12" w:space="0"/>
            </w:tcBorders>
            <w:noWrap/>
            <w:vAlign w:val="center"/>
          </w:tcPr>
          <w:p w14:paraId="7EB44EC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清洁，无渗水、积水，照明正常</w:t>
            </w:r>
          </w:p>
        </w:tc>
      </w:tr>
      <w:tr w14:paraId="70C0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6" w:type="dxa"/>
            <w:tcBorders>
              <w:left w:val="single" w:color="auto" w:sz="12" w:space="0"/>
              <w:bottom w:val="single" w:color="auto" w:sz="12" w:space="0"/>
            </w:tcBorders>
            <w:noWrap/>
            <w:vAlign w:val="center"/>
          </w:tcPr>
          <w:p w14:paraId="4A2FF27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31</w:t>
            </w:r>
          </w:p>
        </w:tc>
        <w:tc>
          <w:tcPr>
            <w:tcW w:w="3634" w:type="dxa"/>
            <w:tcBorders>
              <w:bottom w:val="single" w:color="auto" w:sz="12" w:space="0"/>
            </w:tcBorders>
            <w:noWrap w:val="0"/>
            <w:vAlign w:val="center"/>
          </w:tcPr>
          <w:p w14:paraId="5D72450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底坑停止装置</w:t>
            </w:r>
          </w:p>
        </w:tc>
        <w:tc>
          <w:tcPr>
            <w:tcW w:w="5540" w:type="dxa"/>
            <w:tcBorders>
              <w:bottom w:val="single" w:color="auto" w:sz="12" w:space="0"/>
              <w:right w:val="single" w:color="auto" w:sz="12" w:space="0"/>
            </w:tcBorders>
            <w:noWrap/>
            <w:vAlign w:val="center"/>
          </w:tcPr>
          <w:p w14:paraId="4E879C3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工作正常</w:t>
            </w:r>
          </w:p>
        </w:tc>
      </w:tr>
    </w:tbl>
    <w:p w14:paraId="459C4A4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5A399F5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7D9D9E8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A2  季度维护保养项目（内容）和要求</w:t>
      </w:r>
    </w:p>
    <w:p w14:paraId="31B99FF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季度维护保养项目（内容）和要求除符合A1半月维护保养的项目（内容）和要求外，还应当符合表A-2的项目（内容）和要求。</w:t>
      </w:r>
    </w:p>
    <w:p w14:paraId="0F9787F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表A-2 季度维护保养项目（内容）和要求</w:t>
      </w:r>
    </w:p>
    <w:tbl>
      <w:tblPr>
        <w:tblStyle w:val="1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6"/>
        <w:gridCol w:w="3639"/>
        <w:gridCol w:w="4129"/>
      </w:tblGrid>
      <w:tr w14:paraId="35FB4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6" w:type="dxa"/>
            <w:noWrap/>
            <w:vAlign w:val="center"/>
          </w:tcPr>
          <w:p w14:paraId="2FA0349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序号</w:t>
            </w:r>
          </w:p>
        </w:tc>
        <w:tc>
          <w:tcPr>
            <w:tcW w:w="3639" w:type="dxa"/>
            <w:noWrap w:val="0"/>
            <w:vAlign w:val="center"/>
          </w:tcPr>
          <w:p w14:paraId="1E06498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维护保养项目（内容）</w:t>
            </w:r>
          </w:p>
        </w:tc>
        <w:tc>
          <w:tcPr>
            <w:tcW w:w="4129" w:type="dxa"/>
            <w:noWrap/>
            <w:vAlign w:val="center"/>
          </w:tcPr>
          <w:p w14:paraId="2747118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维护保养基本要求</w:t>
            </w:r>
          </w:p>
        </w:tc>
      </w:tr>
      <w:tr w14:paraId="710D0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6" w:type="dxa"/>
            <w:noWrap/>
            <w:vAlign w:val="center"/>
          </w:tcPr>
          <w:p w14:paraId="55A2CDE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w:t>
            </w:r>
          </w:p>
        </w:tc>
        <w:tc>
          <w:tcPr>
            <w:tcW w:w="3639" w:type="dxa"/>
            <w:noWrap w:val="0"/>
            <w:vAlign w:val="center"/>
          </w:tcPr>
          <w:p w14:paraId="3A99BE4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减速机润滑油</w:t>
            </w:r>
          </w:p>
        </w:tc>
        <w:tc>
          <w:tcPr>
            <w:tcW w:w="4129" w:type="dxa"/>
            <w:noWrap/>
            <w:vAlign w:val="center"/>
          </w:tcPr>
          <w:p w14:paraId="54D6BA5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油量适宜，除蜗杆伸出端外均无渗漏</w:t>
            </w:r>
          </w:p>
        </w:tc>
      </w:tr>
      <w:tr w14:paraId="08B83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6" w:type="dxa"/>
            <w:noWrap/>
            <w:vAlign w:val="center"/>
          </w:tcPr>
          <w:p w14:paraId="6B6A1AA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w:t>
            </w:r>
          </w:p>
        </w:tc>
        <w:tc>
          <w:tcPr>
            <w:tcW w:w="3639" w:type="dxa"/>
            <w:noWrap w:val="0"/>
            <w:vAlign w:val="center"/>
          </w:tcPr>
          <w:p w14:paraId="3D47161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制动衬</w:t>
            </w:r>
          </w:p>
        </w:tc>
        <w:tc>
          <w:tcPr>
            <w:tcW w:w="4129" w:type="dxa"/>
            <w:noWrap/>
            <w:vAlign w:val="center"/>
          </w:tcPr>
          <w:p w14:paraId="5C4F824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清洁，磨损量不超过制造单位要求</w:t>
            </w:r>
          </w:p>
        </w:tc>
      </w:tr>
      <w:tr w14:paraId="123C3D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6" w:type="dxa"/>
            <w:noWrap/>
            <w:vAlign w:val="center"/>
          </w:tcPr>
          <w:p w14:paraId="2E4E91B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3</w:t>
            </w:r>
          </w:p>
        </w:tc>
        <w:tc>
          <w:tcPr>
            <w:tcW w:w="3639" w:type="dxa"/>
            <w:noWrap w:val="0"/>
            <w:vAlign w:val="center"/>
          </w:tcPr>
          <w:p w14:paraId="7C284B3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编码器</w:t>
            </w:r>
          </w:p>
        </w:tc>
        <w:tc>
          <w:tcPr>
            <w:tcW w:w="4129" w:type="dxa"/>
            <w:noWrap/>
            <w:vAlign w:val="center"/>
          </w:tcPr>
          <w:p w14:paraId="5DFBA08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工作正常</w:t>
            </w:r>
          </w:p>
        </w:tc>
      </w:tr>
      <w:tr w14:paraId="2C3264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6" w:type="dxa"/>
            <w:noWrap/>
            <w:vAlign w:val="center"/>
          </w:tcPr>
          <w:p w14:paraId="349DB89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4</w:t>
            </w:r>
          </w:p>
        </w:tc>
        <w:tc>
          <w:tcPr>
            <w:tcW w:w="3639" w:type="dxa"/>
            <w:noWrap w:val="0"/>
            <w:vAlign w:val="center"/>
          </w:tcPr>
          <w:p w14:paraId="1C5D39E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选层器动静触点</w:t>
            </w:r>
          </w:p>
        </w:tc>
        <w:tc>
          <w:tcPr>
            <w:tcW w:w="4129" w:type="dxa"/>
            <w:noWrap/>
            <w:vAlign w:val="center"/>
          </w:tcPr>
          <w:p w14:paraId="2D90870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清洁，无烧蚀</w:t>
            </w:r>
          </w:p>
        </w:tc>
      </w:tr>
      <w:tr w14:paraId="26D090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6" w:type="dxa"/>
            <w:noWrap/>
            <w:vAlign w:val="center"/>
          </w:tcPr>
          <w:p w14:paraId="3617919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5</w:t>
            </w:r>
          </w:p>
        </w:tc>
        <w:tc>
          <w:tcPr>
            <w:tcW w:w="3639" w:type="dxa"/>
            <w:noWrap w:val="0"/>
            <w:vAlign w:val="center"/>
          </w:tcPr>
          <w:p w14:paraId="4608AAD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曳引轮槽、悬挂装置</w:t>
            </w:r>
          </w:p>
        </w:tc>
        <w:tc>
          <w:tcPr>
            <w:tcW w:w="4129" w:type="dxa"/>
            <w:noWrap/>
            <w:vAlign w:val="center"/>
          </w:tcPr>
          <w:p w14:paraId="24EBA49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清洁，钢丝绳无严重油腻，张力均匀，符合制造单位要求</w:t>
            </w:r>
          </w:p>
        </w:tc>
      </w:tr>
      <w:tr w14:paraId="161625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6" w:type="dxa"/>
            <w:noWrap/>
            <w:vAlign w:val="center"/>
          </w:tcPr>
          <w:p w14:paraId="1ADD673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6</w:t>
            </w:r>
          </w:p>
        </w:tc>
        <w:tc>
          <w:tcPr>
            <w:tcW w:w="3639" w:type="dxa"/>
            <w:noWrap w:val="0"/>
            <w:vAlign w:val="center"/>
          </w:tcPr>
          <w:p w14:paraId="66FC772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限速器轮槽、限速器钢丝绳</w:t>
            </w:r>
          </w:p>
        </w:tc>
        <w:tc>
          <w:tcPr>
            <w:tcW w:w="4129" w:type="dxa"/>
            <w:noWrap/>
            <w:vAlign w:val="center"/>
          </w:tcPr>
          <w:p w14:paraId="0364686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清洁，无严重油腻</w:t>
            </w:r>
          </w:p>
        </w:tc>
      </w:tr>
      <w:tr w14:paraId="6221F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6" w:type="dxa"/>
            <w:noWrap/>
            <w:vAlign w:val="center"/>
          </w:tcPr>
          <w:p w14:paraId="15AEF57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7</w:t>
            </w:r>
          </w:p>
        </w:tc>
        <w:tc>
          <w:tcPr>
            <w:tcW w:w="3639" w:type="dxa"/>
            <w:noWrap w:val="0"/>
            <w:vAlign w:val="center"/>
          </w:tcPr>
          <w:p w14:paraId="634FA5F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靴衬、滚轮</w:t>
            </w:r>
          </w:p>
        </w:tc>
        <w:tc>
          <w:tcPr>
            <w:tcW w:w="4129" w:type="dxa"/>
            <w:noWrap/>
            <w:vAlign w:val="center"/>
          </w:tcPr>
          <w:p w14:paraId="0864A24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清洁，磨损量不超过制造单位要求</w:t>
            </w:r>
          </w:p>
        </w:tc>
      </w:tr>
      <w:tr w14:paraId="01C478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6" w:type="dxa"/>
            <w:noWrap/>
            <w:vAlign w:val="center"/>
          </w:tcPr>
          <w:p w14:paraId="6E1F583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8</w:t>
            </w:r>
          </w:p>
        </w:tc>
        <w:tc>
          <w:tcPr>
            <w:tcW w:w="3639" w:type="dxa"/>
            <w:noWrap w:val="0"/>
            <w:vAlign w:val="center"/>
          </w:tcPr>
          <w:p w14:paraId="5D4E71A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验证轿门关闭的电气安全装置</w:t>
            </w:r>
          </w:p>
        </w:tc>
        <w:tc>
          <w:tcPr>
            <w:tcW w:w="4129" w:type="dxa"/>
            <w:noWrap/>
            <w:vAlign w:val="center"/>
          </w:tcPr>
          <w:p w14:paraId="2D35F20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工作正常</w:t>
            </w:r>
          </w:p>
        </w:tc>
      </w:tr>
      <w:tr w14:paraId="53666D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6" w:type="dxa"/>
            <w:noWrap/>
            <w:vAlign w:val="center"/>
          </w:tcPr>
          <w:p w14:paraId="2352AFC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9</w:t>
            </w:r>
          </w:p>
        </w:tc>
        <w:tc>
          <w:tcPr>
            <w:tcW w:w="3639" w:type="dxa"/>
            <w:noWrap w:val="0"/>
            <w:vAlign w:val="center"/>
          </w:tcPr>
          <w:p w14:paraId="0221832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层门、轿门系统中传动钢丝绳、链条、传送带</w:t>
            </w:r>
          </w:p>
        </w:tc>
        <w:tc>
          <w:tcPr>
            <w:tcW w:w="4129" w:type="dxa"/>
            <w:noWrap/>
            <w:vAlign w:val="center"/>
          </w:tcPr>
          <w:p w14:paraId="17D74CE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按照制造单位要求进行清洁、调整</w:t>
            </w:r>
          </w:p>
        </w:tc>
      </w:tr>
      <w:tr w14:paraId="5D0FD9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6" w:type="dxa"/>
            <w:noWrap/>
            <w:vAlign w:val="center"/>
          </w:tcPr>
          <w:p w14:paraId="4D75276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10</w:t>
            </w:r>
          </w:p>
        </w:tc>
        <w:tc>
          <w:tcPr>
            <w:tcW w:w="3639" w:type="dxa"/>
            <w:noWrap w:val="0"/>
            <w:vAlign w:val="center"/>
          </w:tcPr>
          <w:p w14:paraId="62F6914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层门门导靴</w:t>
            </w:r>
          </w:p>
        </w:tc>
        <w:tc>
          <w:tcPr>
            <w:tcW w:w="4129" w:type="dxa"/>
            <w:noWrap/>
            <w:vAlign w:val="center"/>
          </w:tcPr>
          <w:p w14:paraId="68CEB37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磨损量不超过制造单位要求</w:t>
            </w:r>
          </w:p>
        </w:tc>
      </w:tr>
      <w:tr w14:paraId="5D1E39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6" w:type="dxa"/>
            <w:noWrap/>
            <w:vAlign w:val="center"/>
          </w:tcPr>
          <w:p w14:paraId="35A5BC4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11</w:t>
            </w:r>
          </w:p>
        </w:tc>
        <w:tc>
          <w:tcPr>
            <w:tcW w:w="3639" w:type="dxa"/>
            <w:noWrap w:val="0"/>
            <w:vAlign w:val="center"/>
          </w:tcPr>
          <w:p w14:paraId="2C34D36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消防开关</w:t>
            </w:r>
          </w:p>
        </w:tc>
        <w:tc>
          <w:tcPr>
            <w:tcW w:w="4129" w:type="dxa"/>
            <w:noWrap/>
            <w:vAlign w:val="center"/>
          </w:tcPr>
          <w:p w14:paraId="5DF9CCD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工作正常，功能有效</w:t>
            </w:r>
          </w:p>
        </w:tc>
      </w:tr>
      <w:tr w14:paraId="0E260C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6" w:type="dxa"/>
            <w:noWrap/>
            <w:vAlign w:val="center"/>
          </w:tcPr>
          <w:p w14:paraId="17030D1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12</w:t>
            </w:r>
          </w:p>
        </w:tc>
        <w:tc>
          <w:tcPr>
            <w:tcW w:w="3639" w:type="dxa"/>
            <w:noWrap w:val="0"/>
            <w:vAlign w:val="center"/>
          </w:tcPr>
          <w:p w14:paraId="47CEFDA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耗能缓冲器</w:t>
            </w:r>
          </w:p>
        </w:tc>
        <w:tc>
          <w:tcPr>
            <w:tcW w:w="4129" w:type="dxa"/>
            <w:noWrap/>
            <w:vAlign w:val="center"/>
          </w:tcPr>
          <w:p w14:paraId="3F1D071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电气安全装置功能有效，油量适宜，柱塞无锈蚀</w:t>
            </w:r>
          </w:p>
        </w:tc>
      </w:tr>
      <w:tr w14:paraId="790158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6" w:type="dxa"/>
            <w:noWrap/>
            <w:vAlign w:val="center"/>
          </w:tcPr>
          <w:p w14:paraId="52061C2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13</w:t>
            </w:r>
          </w:p>
        </w:tc>
        <w:tc>
          <w:tcPr>
            <w:tcW w:w="3639" w:type="dxa"/>
            <w:noWrap w:val="0"/>
            <w:vAlign w:val="center"/>
          </w:tcPr>
          <w:p w14:paraId="3AAA921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限速器张紧轮装置和电气安全装置</w:t>
            </w:r>
          </w:p>
        </w:tc>
        <w:tc>
          <w:tcPr>
            <w:tcW w:w="4129" w:type="dxa"/>
            <w:noWrap/>
            <w:vAlign w:val="center"/>
          </w:tcPr>
          <w:p w14:paraId="79973C4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工作正常</w:t>
            </w:r>
          </w:p>
        </w:tc>
      </w:tr>
    </w:tbl>
    <w:p w14:paraId="7FB6480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77F8439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040E337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A3  半年维护保养项目（内容）和要求</w:t>
      </w:r>
    </w:p>
    <w:p w14:paraId="381CEA3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半年维护保养项目（内容）和要求除符合A2季度维护保养的项目（内容）和要求外，还应当符合表A-3的项目（内容）和要求。</w:t>
      </w:r>
    </w:p>
    <w:p w14:paraId="0893297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表A-3  半年维护保养项目（内容）和要求</w:t>
      </w:r>
    </w:p>
    <w:tbl>
      <w:tblPr>
        <w:tblStyle w:val="19"/>
        <w:tblW w:w="0" w:type="auto"/>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6"/>
        <w:gridCol w:w="3634"/>
        <w:gridCol w:w="4129"/>
      </w:tblGrid>
      <w:tr w14:paraId="61D8FB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ign w:val="center"/>
          </w:tcPr>
          <w:p w14:paraId="548F310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序号</w:t>
            </w:r>
          </w:p>
        </w:tc>
        <w:tc>
          <w:tcPr>
            <w:tcW w:w="3634" w:type="dxa"/>
            <w:noWrap w:val="0"/>
            <w:vAlign w:val="center"/>
          </w:tcPr>
          <w:p w14:paraId="1002C76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维护保养项目（内容）</w:t>
            </w:r>
          </w:p>
        </w:tc>
        <w:tc>
          <w:tcPr>
            <w:tcW w:w="4129" w:type="dxa"/>
            <w:noWrap/>
            <w:vAlign w:val="center"/>
          </w:tcPr>
          <w:p w14:paraId="6908A80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维护保养基本要求</w:t>
            </w:r>
          </w:p>
        </w:tc>
      </w:tr>
      <w:tr w14:paraId="373B7C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ign w:val="center"/>
          </w:tcPr>
          <w:p w14:paraId="6979CA9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w:t>
            </w:r>
          </w:p>
        </w:tc>
        <w:tc>
          <w:tcPr>
            <w:tcW w:w="3634" w:type="dxa"/>
            <w:noWrap w:val="0"/>
            <w:vAlign w:val="center"/>
          </w:tcPr>
          <w:p w14:paraId="3AF22C5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电动机与减速机联轴器</w:t>
            </w:r>
          </w:p>
        </w:tc>
        <w:tc>
          <w:tcPr>
            <w:tcW w:w="4129" w:type="dxa"/>
            <w:noWrap/>
            <w:vAlign w:val="center"/>
          </w:tcPr>
          <w:p w14:paraId="45AAC8F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连接无松动，弹性元件外观良好，无老化等现象</w:t>
            </w:r>
          </w:p>
        </w:tc>
      </w:tr>
      <w:tr w14:paraId="430A3A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ign w:val="center"/>
          </w:tcPr>
          <w:p w14:paraId="474D71A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w:t>
            </w:r>
          </w:p>
        </w:tc>
        <w:tc>
          <w:tcPr>
            <w:tcW w:w="3634" w:type="dxa"/>
            <w:noWrap w:val="0"/>
            <w:vAlign w:val="center"/>
          </w:tcPr>
          <w:p w14:paraId="6EE81BF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驱动轮、导向轮轴承部</w:t>
            </w:r>
          </w:p>
        </w:tc>
        <w:tc>
          <w:tcPr>
            <w:tcW w:w="4129" w:type="dxa"/>
            <w:noWrap/>
            <w:vAlign w:val="center"/>
          </w:tcPr>
          <w:p w14:paraId="5A1BD24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无异常响声，无振动，润滑良好</w:t>
            </w:r>
          </w:p>
        </w:tc>
      </w:tr>
      <w:tr w14:paraId="68BFDE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ign w:val="center"/>
          </w:tcPr>
          <w:p w14:paraId="7269107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3</w:t>
            </w:r>
          </w:p>
        </w:tc>
        <w:tc>
          <w:tcPr>
            <w:tcW w:w="3634" w:type="dxa"/>
            <w:noWrap w:val="0"/>
            <w:vAlign w:val="center"/>
          </w:tcPr>
          <w:p w14:paraId="1FC20FA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曳引轮槽</w:t>
            </w:r>
          </w:p>
        </w:tc>
        <w:tc>
          <w:tcPr>
            <w:tcW w:w="4129" w:type="dxa"/>
            <w:noWrap/>
            <w:vAlign w:val="center"/>
          </w:tcPr>
          <w:p w14:paraId="334E835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磨损量不超过制造单位要求</w:t>
            </w:r>
          </w:p>
        </w:tc>
      </w:tr>
      <w:tr w14:paraId="257065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ign w:val="center"/>
          </w:tcPr>
          <w:p w14:paraId="6D9F3BB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4</w:t>
            </w:r>
          </w:p>
        </w:tc>
        <w:tc>
          <w:tcPr>
            <w:tcW w:w="3634" w:type="dxa"/>
            <w:noWrap w:val="0"/>
            <w:vAlign w:val="center"/>
          </w:tcPr>
          <w:p w14:paraId="60276AA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制动器动作状态监测装置</w:t>
            </w:r>
          </w:p>
        </w:tc>
        <w:tc>
          <w:tcPr>
            <w:tcW w:w="4129" w:type="dxa"/>
            <w:noWrap/>
            <w:vAlign w:val="center"/>
          </w:tcPr>
          <w:p w14:paraId="092C2E2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工作正常，制动器动作可靠</w:t>
            </w:r>
          </w:p>
        </w:tc>
      </w:tr>
      <w:tr w14:paraId="4A5F7F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ign w:val="center"/>
          </w:tcPr>
          <w:p w14:paraId="601D9BA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5</w:t>
            </w:r>
          </w:p>
        </w:tc>
        <w:tc>
          <w:tcPr>
            <w:tcW w:w="3634" w:type="dxa"/>
            <w:noWrap w:val="0"/>
            <w:vAlign w:val="center"/>
          </w:tcPr>
          <w:p w14:paraId="25D65D8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控制柜内各接线端子</w:t>
            </w:r>
          </w:p>
        </w:tc>
        <w:tc>
          <w:tcPr>
            <w:tcW w:w="4129" w:type="dxa"/>
            <w:noWrap/>
            <w:vAlign w:val="center"/>
          </w:tcPr>
          <w:p w14:paraId="1854D57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各接线紧固、整齐，线号齐全清晰</w:t>
            </w:r>
          </w:p>
        </w:tc>
      </w:tr>
      <w:tr w14:paraId="18FF59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ign w:val="center"/>
          </w:tcPr>
          <w:p w14:paraId="3BF3776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6</w:t>
            </w:r>
          </w:p>
        </w:tc>
        <w:tc>
          <w:tcPr>
            <w:tcW w:w="3634" w:type="dxa"/>
            <w:noWrap w:val="0"/>
            <w:vAlign w:val="center"/>
          </w:tcPr>
          <w:p w14:paraId="58CF86F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控制柜各仪表</w:t>
            </w:r>
          </w:p>
        </w:tc>
        <w:tc>
          <w:tcPr>
            <w:tcW w:w="4129" w:type="dxa"/>
            <w:noWrap/>
            <w:vAlign w:val="center"/>
          </w:tcPr>
          <w:p w14:paraId="16C5AFA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显示正常</w:t>
            </w:r>
          </w:p>
        </w:tc>
      </w:tr>
      <w:tr w14:paraId="3304BA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ign w:val="center"/>
          </w:tcPr>
          <w:p w14:paraId="13B10EC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7</w:t>
            </w:r>
          </w:p>
        </w:tc>
        <w:tc>
          <w:tcPr>
            <w:tcW w:w="3634" w:type="dxa"/>
            <w:noWrap w:val="0"/>
            <w:vAlign w:val="center"/>
          </w:tcPr>
          <w:p w14:paraId="58E26F0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井道、对重、轿顶各反绳轮轴承部</w:t>
            </w:r>
          </w:p>
        </w:tc>
        <w:tc>
          <w:tcPr>
            <w:tcW w:w="4129" w:type="dxa"/>
            <w:noWrap/>
            <w:vAlign w:val="center"/>
          </w:tcPr>
          <w:p w14:paraId="7C31BF0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无异常声响，无振动，润滑良好</w:t>
            </w:r>
          </w:p>
        </w:tc>
      </w:tr>
      <w:tr w14:paraId="1780FC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ign w:val="center"/>
          </w:tcPr>
          <w:p w14:paraId="71CF777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8</w:t>
            </w:r>
          </w:p>
        </w:tc>
        <w:tc>
          <w:tcPr>
            <w:tcW w:w="3634" w:type="dxa"/>
            <w:noWrap w:val="0"/>
            <w:vAlign w:val="center"/>
          </w:tcPr>
          <w:p w14:paraId="0A88DE6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悬挂装置、补偿绳</w:t>
            </w:r>
          </w:p>
        </w:tc>
        <w:tc>
          <w:tcPr>
            <w:tcW w:w="4129" w:type="dxa"/>
            <w:noWrap/>
            <w:vAlign w:val="center"/>
          </w:tcPr>
          <w:p w14:paraId="2E22348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磨损量、断丝数不超过要求</w:t>
            </w:r>
          </w:p>
        </w:tc>
      </w:tr>
      <w:tr w14:paraId="205050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ign w:val="center"/>
          </w:tcPr>
          <w:p w14:paraId="4AA2D6B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9</w:t>
            </w:r>
          </w:p>
        </w:tc>
        <w:tc>
          <w:tcPr>
            <w:tcW w:w="3634" w:type="dxa"/>
            <w:noWrap w:val="0"/>
            <w:vAlign w:val="center"/>
          </w:tcPr>
          <w:p w14:paraId="3FFDEB7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绳头组合</w:t>
            </w:r>
          </w:p>
        </w:tc>
        <w:tc>
          <w:tcPr>
            <w:tcW w:w="4129" w:type="dxa"/>
            <w:noWrap/>
            <w:vAlign w:val="center"/>
          </w:tcPr>
          <w:p w14:paraId="35AFBF8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螺母无松动</w:t>
            </w:r>
          </w:p>
        </w:tc>
      </w:tr>
      <w:tr w14:paraId="4577F1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ign w:val="center"/>
          </w:tcPr>
          <w:p w14:paraId="50B98B8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10</w:t>
            </w:r>
          </w:p>
        </w:tc>
        <w:tc>
          <w:tcPr>
            <w:tcW w:w="3634" w:type="dxa"/>
            <w:noWrap w:val="0"/>
            <w:vAlign w:val="center"/>
          </w:tcPr>
          <w:p w14:paraId="0292CA7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限速器钢丝绳</w:t>
            </w:r>
          </w:p>
        </w:tc>
        <w:tc>
          <w:tcPr>
            <w:tcW w:w="4129" w:type="dxa"/>
            <w:noWrap/>
            <w:vAlign w:val="center"/>
          </w:tcPr>
          <w:p w14:paraId="3BEB9B6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磨损量、断丝数不超过制造单位要求</w:t>
            </w:r>
          </w:p>
        </w:tc>
      </w:tr>
      <w:tr w14:paraId="695E6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ign w:val="center"/>
          </w:tcPr>
          <w:p w14:paraId="0FDB926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11</w:t>
            </w:r>
          </w:p>
        </w:tc>
        <w:tc>
          <w:tcPr>
            <w:tcW w:w="3634" w:type="dxa"/>
            <w:noWrap w:val="0"/>
            <w:vAlign w:val="center"/>
          </w:tcPr>
          <w:p w14:paraId="7EA141A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层门、轿门门扇</w:t>
            </w:r>
          </w:p>
        </w:tc>
        <w:tc>
          <w:tcPr>
            <w:tcW w:w="4129" w:type="dxa"/>
            <w:noWrap/>
            <w:vAlign w:val="center"/>
          </w:tcPr>
          <w:p w14:paraId="40CA648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门扇各相关间隙符合标准值</w:t>
            </w:r>
          </w:p>
        </w:tc>
      </w:tr>
      <w:tr w14:paraId="5FA038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ign w:val="center"/>
          </w:tcPr>
          <w:p w14:paraId="553A1FE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12</w:t>
            </w:r>
          </w:p>
        </w:tc>
        <w:tc>
          <w:tcPr>
            <w:tcW w:w="3634" w:type="dxa"/>
            <w:noWrap w:val="0"/>
            <w:vAlign w:val="center"/>
          </w:tcPr>
          <w:p w14:paraId="4F9119C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轿门开门限制装置</w:t>
            </w:r>
          </w:p>
        </w:tc>
        <w:tc>
          <w:tcPr>
            <w:tcW w:w="4129" w:type="dxa"/>
            <w:noWrap/>
            <w:vAlign w:val="center"/>
          </w:tcPr>
          <w:p w14:paraId="72CDCA0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工作正常</w:t>
            </w:r>
          </w:p>
        </w:tc>
      </w:tr>
      <w:tr w14:paraId="69C326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ign w:val="center"/>
          </w:tcPr>
          <w:p w14:paraId="2CDF93C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13</w:t>
            </w:r>
          </w:p>
        </w:tc>
        <w:tc>
          <w:tcPr>
            <w:tcW w:w="3634" w:type="dxa"/>
            <w:noWrap w:val="0"/>
            <w:vAlign w:val="center"/>
          </w:tcPr>
          <w:p w14:paraId="7679334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对重缓冲距离</w:t>
            </w:r>
          </w:p>
        </w:tc>
        <w:tc>
          <w:tcPr>
            <w:tcW w:w="4129" w:type="dxa"/>
            <w:noWrap/>
            <w:vAlign w:val="center"/>
          </w:tcPr>
          <w:p w14:paraId="270F6DC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符合标准值</w:t>
            </w:r>
          </w:p>
        </w:tc>
      </w:tr>
      <w:tr w14:paraId="303D7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ign w:val="center"/>
          </w:tcPr>
          <w:p w14:paraId="00C302C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14</w:t>
            </w:r>
          </w:p>
        </w:tc>
        <w:tc>
          <w:tcPr>
            <w:tcW w:w="3634" w:type="dxa"/>
            <w:noWrap w:val="0"/>
            <w:vAlign w:val="center"/>
          </w:tcPr>
          <w:p w14:paraId="7DA6E85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补偿链（绳）与轿厢、对重接合处</w:t>
            </w:r>
          </w:p>
        </w:tc>
        <w:tc>
          <w:tcPr>
            <w:tcW w:w="4129" w:type="dxa"/>
            <w:noWrap/>
            <w:vAlign w:val="center"/>
          </w:tcPr>
          <w:p w14:paraId="2E374CF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固定、无松动</w:t>
            </w:r>
          </w:p>
        </w:tc>
      </w:tr>
      <w:tr w14:paraId="0490DF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ign w:val="center"/>
          </w:tcPr>
          <w:p w14:paraId="5E3AD35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15</w:t>
            </w:r>
          </w:p>
        </w:tc>
        <w:tc>
          <w:tcPr>
            <w:tcW w:w="3634" w:type="dxa"/>
            <w:noWrap w:val="0"/>
            <w:vAlign w:val="center"/>
          </w:tcPr>
          <w:p w14:paraId="69EC4CA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上下极限开关</w:t>
            </w:r>
          </w:p>
        </w:tc>
        <w:tc>
          <w:tcPr>
            <w:tcW w:w="4129" w:type="dxa"/>
            <w:noWrap/>
            <w:vAlign w:val="center"/>
          </w:tcPr>
          <w:p w14:paraId="1C3473F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工作正常</w:t>
            </w:r>
          </w:p>
        </w:tc>
      </w:tr>
    </w:tbl>
    <w:p w14:paraId="667EFFB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5A583E2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6FA0364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 xml:space="preserve">A4  年度维护保养项目（内容）和要求 </w:t>
      </w:r>
    </w:p>
    <w:p w14:paraId="4DF80CF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年度维护保养项目（内容）和要求除符合A3半年度维护保养的项目（内容）和要求外，还应当符合表A-4的项目（内容）和要求外，还应当符合表A-4的项目（内容）和要求。</w:t>
      </w:r>
    </w:p>
    <w:p w14:paraId="35343B4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表A-4 年度维护保养项目（内容）和要求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675"/>
        <w:gridCol w:w="4242"/>
      </w:tblGrid>
      <w:tr w14:paraId="5674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dxa"/>
            <w:tcBorders>
              <w:top w:val="single" w:color="auto" w:sz="12" w:space="0"/>
              <w:left w:val="single" w:color="auto" w:sz="12" w:space="0"/>
            </w:tcBorders>
            <w:noWrap/>
            <w:vAlign w:val="top"/>
          </w:tcPr>
          <w:p w14:paraId="170379F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序号</w:t>
            </w:r>
          </w:p>
        </w:tc>
        <w:tc>
          <w:tcPr>
            <w:tcW w:w="3675" w:type="dxa"/>
            <w:tcBorders>
              <w:top w:val="single" w:color="auto" w:sz="12" w:space="0"/>
            </w:tcBorders>
            <w:noWrap w:val="0"/>
            <w:vAlign w:val="top"/>
          </w:tcPr>
          <w:p w14:paraId="6991302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维护保养项目（内容）</w:t>
            </w:r>
          </w:p>
        </w:tc>
        <w:tc>
          <w:tcPr>
            <w:tcW w:w="4242" w:type="dxa"/>
            <w:tcBorders>
              <w:top w:val="single" w:color="auto" w:sz="12" w:space="0"/>
              <w:right w:val="single" w:color="auto" w:sz="12" w:space="0"/>
            </w:tcBorders>
            <w:noWrap/>
            <w:vAlign w:val="top"/>
          </w:tcPr>
          <w:p w14:paraId="41CE043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维护保养基本要求</w:t>
            </w:r>
          </w:p>
        </w:tc>
      </w:tr>
      <w:tr w14:paraId="4881E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ign w:val="top"/>
          </w:tcPr>
          <w:p w14:paraId="37C5909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w:t>
            </w:r>
          </w:p>
        </w:tc>
        <w:tc>
          <w:tcPr>
            <w:tcW w:w="3675" w:type="dxa"/>
            <w:noWrap w:val="0"/>
            <w:vAlign w:val="top"/>
          </w:tcPr>
          <w:p w14:paraId="17325EE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减速机润滑油</w:t>
            </w:r>
          </w:p>
        </w:tc>
        <w:tc>
          <w:tcPr>
            <w:tcW w:w="4242" w:type="dxa"/>
            <w:tcBorders>
              <w:right w:val="single" w:color="auto" w:sz="12" w:space="0"/>
            </w:tcBorders>
            <w:noWrap/>
            <w:vAlign w:val="top"/>
          </w:tcPr>
          <w:p w14:paraId="52380C7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按照制造单位要求适时更换，保证油质符合要求</w:t>
            </w:r>
          </w:p>
        </w:tc>
      </w:tr>
      <w:tr w14:paraId="3287E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ign w:val="top"/>
          </w:tcPr>
          <w:p w14:paraId="5C28002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w:t>
            </w:r>
          </w:p>
        </w:tc>
        <w:tc>
          <w:tcPr>
            <w:tcW w:w="3675" w:type="dxa"/>
            <w:noWrap w:val="0"/>
            <w:vAlign w:val="top"/>
          </w:tcPr>
          <w:p w14:paraId="7209F10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控制柜接触器、继电器触点</w:t>
            </w:r>
          </w:p>
        </w:tc>
        <w:tc>
          <w:tcPr>
            <w:tcW w:w="4242" w:type="dxa"/>
            <w:tcBorders>
              <w:right w:val="single" w:color="auto" w:sz="12" w:space="0"/>
            </w:tcBorders>
            <w:noWrap/>
            <w:vAlign w:val="top"/>
          </w:tcPr>
          <w:p w14:paraId="0640A74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接触良好</w:t>
            </w:r>
          </w:p>
        </w:tc>
      </w:tr>
      <w:tr w14:paraId="0109D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ign w:val="top"/>
          </w:tcPr>
          <w:p w14:paraId="04FFB66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3</w:t>
            </w:r>
          </w:p>
        </w:tc>
        <w:tc>
          <w:tcPr>
            <w:tcW w:w="3675" w:type="dxa"/>
            <w:noWrap w:val="0"/>
            <w:vAlign w:val="top"/>
          </w:tcPr>
          <w:p w14:paraId="05134C4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制动器铁芯（柱塞）</w:t>
            </w:r>
          </w:p>
        </w:tc>
        <w:tc>
          <w:tcPr>
            <w:tcW w:w="4242" w:type="dxa"/>
            <w:tcBorders>
              <w:right w:val="single" w:color="auto" w:sz="12" w:space="0"/>
            </w:tcBorders>
            <w:noWrap/>
            <w:vAlign w:val="top"/>
          </w:tcPr>
          <w:p w14:paraId="2535D0A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进行清洁、润滑、检查，磨损量不超过制造单位要求</w:t>
            </w:r>
          </w:p>
        </w:tc>
      </w:tr>
      <w:tr w14:paraId="34CE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ign w:val="top"/>
          </w:tcPr>
          <w:p w14:paraId="0AA9794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4</w:t>
            </w:r>
          </w:p>
        </w:tc>
        <w:tc>
          <w:tcPr>
            <w:tcW w:w="3675" w:type="dxa"/>
            <w:noWrap w:val="0"/>
            <w:vAlign w:val="top"/>
          </w:tcPr>
          <w:p w14:paraId="6710092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制动器制动能力</w:t>
            </w:r>
          </w:p>
        </w:tc>
        <w:tc>
          <w:tcPr>
            <w:tcW w:w="4242" w:type="dxa"/>
            <w:tcBorders>
              <w:right w:val="single" w:color="auto" w:sz="12" w:space="0"/>
            </w:tcBorders>
            <w:noWrap/>
            <w:vAlign w:val="top"/>
          </w:tcPr>
          <w:p w14:paraId="61CEE88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符合制造单位要求，保持有足够的制动力，必要时进行轿厢装载125%额定载重量的制动试验</w:t>
            </w:r>
          </w:p>
        </w:tc>
      </w:tr>
      <w:tr w14:paraId="7D23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ign w:val="top"/>
          </w:tcPr>
          <w:p w14:paraId="12CAEE3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5</w:t>
            </w:r>
          </w:p>
        </w:tc>
        <w:tc>
          <w:tcPr>
            <w:tcW w:w="3675" w:type="dxa"/>
            <w:noWrap w:val="0"/>
            <w:vAlign w:val="top"/>
          </w:tcPr>
          <w:p w14:paraId="17AA075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导电回路绝缘性能测试</w:t>
            </w:r>
          </w:p>
        </w:tc>
        <w:tc>
          <w:tcPr>
            <w:tcW w:w="4242" w:type="dxa"/>
            <w:tcBorders>
              <w:right w:val="single" w:color="auto" w:sz="12" w:space="0"/>
            </w:tcBorders>
            <w:noWrap/>
            <w:vAlign w:val="top"/>
          </w:tcPr>
          <w:p w14:paraId="2A2613B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符合标准</w:t>
            </w:r>
          </w:p>
        </w:tc>
      </w:tr>
      <w:tr w14:paraId="47CAB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ign w:val="top"/>
          </w:tcPr>
          <w:p w14:paraId="2AD0242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6</w:t>
            </w:r>
          </w:p>
        </w:tc>
        <w:tc>
          <w:tcPr>
            <w:tcW w:w="3675" w:type="dxa"/>
            <w:noWrap w:val="0"/>
            <w:vAlign w:val="top"/>
          </w:tcPr>
          <w:p w14:paraId="1F33760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限速器安全钳联动试验（对于使用年限不超过15年的限速器，每2年进行一次限速器动作速度校验；对于使用年限超过15年的限速器，每年进行一次限速器动作速度校验）</w:t>
            </w:r>
          </w:p>
        </w:tc>
        <w:tc>
          <w:tcPr>
            <w:tcW w:w="4242" w:type="dxa"/>
            <w:tcBorders>
              <w:right w:val="single" w:color="auto" w:sz="12" w:space="0"/>
            </w:tcBorders>
            <w:noWrap/>
            <w:vAlign w:val="top"/>
          </w:tcPr>
          <w:p w14:paraId="30A33C6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工作正常</w:t>
            </w:r>
          </w:p>
        </w:tc>
      </w:tr>
      <w:tr w14:paraId="74C68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ign w:val="top"/>
          </w:tcPr>
          <w:p w14:paraId="648828C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7</w:t>
            </w:r>
          </w:p>
        </w:tc>
        <w:tc>
          <w:tcPr>
            <w:tcW w:w="3675" w:type="dxa"/>
            <w:noWrap w:val="0"/>
            <w:vAlign w:val="top"/>
          </w:tcPr>
          <w:p w14:paraId="46AD0AA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上行超速保护装置动作试验</w:t>
            </w:r>
          </w:p>
        </w:tc>
        <w:tc>
          <w:tcPr>
            <w:tcW w:w="4242" w:type="dxa"/>
            <w:tcBorders>
              <w:right w:val="single" w:color="auto" w:sz="12" w:space="0"/>
            </w:tcBorders>
            <w:noWrap/>
            <w:vAlign w:val="top"/>
          </w:tcPr>
          <w:p w14:paraId="4914303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工作正常</w:t>
            </w:r>
          </w:p>
        </w:tc>
      </w:tr>
      <w:tr w14:paraId="3C53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ign w:val="top"/>
          </w:tcPr>
          <w:p w14:paraId="68D4FB8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8</w:t>
            </w:r>
          </w:p>
        </w:tc>
        <w:tc>
          <w:tcPr>
            <w:tcW w:w="3675" w:type="dxa"/>
            <w:noWrap w:val="0"/>
            <w:vAlign w:val="top"/>
          </w:tcPr>
          <w:p w14:paraId="629BE43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轿厢意外移动保护装置动作试验</w:t>
            </w:r>
          </w:p>
        </w:tc>
        <w:tc>
          <w:tcPr>
            <w:tcW w:w="4242" w:type="dxa"/>
            <w:tcBorders>
              <w:right w:val="single" w:color="auto" w:sz="12" w:space="0"/>
            </w:tcBorders>
            <w:noWrap/>
            <w:vAlign w:val="top"/>
          </w:tcPr>
          <w:p w14:paraId="56E7509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工作正常</w:t>
            </w:r>
          </w:p>
        </w:tc>
      </w:tr>
      <w:tr w14:paraId="75CE7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dxa"/>
            <w:noWrap/>
            <w:vAlign w:val="top"/>
          </w:tcPr>
          <w:p w14:paraId="70AEA36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9</w:t>
            </w:r>
          </w:p>
        </w:tc>
        <w:tc>
          <w:tcPr>
            <w:tcW w:w="3675" w:type="dxa"/>
            <w:noWrap w:val="0"/>
            <w:vAlign w:val="top"/>
          </w:tcPr>
          <w:p w14:paraId="2B9AED0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轿顶、轿厢架、轿门及其附件安装螺栓</w:t>
            </w:r>
          </w:p>
        </w:tc>
        <w:tc>
          <w:tcPr>
            <w:tcW w:w="4242" w:type="dxa"/>
            <w:tcBorders>
              <w:right w:val="single" w:color="auto" w:sz="12" w:space="0"/>
            </w:tcBorders>
            <w:noWrap/>
            <w:vAlign w:val="top"/>
          </w:tcPr>
          <w:p w14:paraId="6BB089B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紧固</w:t>
            </w:r>
          </w:p>
        </w:tc>
      </w:tr>
      <w:tr w14:paraId="5F3F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ign w:val="top"/>
          </w:tcPr>
          <w:p w14:paraId="06F4EDC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10</w:t>
            </w:r>
          </w:p>
        </w:tc>
        <w:tc>
          <w:tcPr>
            <w:tcW w:w="3675" w:type="dxa"/>
            <w:noWrap w:val="0"/>
            <w:vAlign w:val="top"/>
          </w:tcPr>
          <w:p w14:paraId="00E0687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轿厢和对重/平衡重的导轨支架</w:t>
            </w:r>
          </w:p>
        </w:tc>
        <w:tc>
          <w:tcPr>
            <w:tcW w:w="4242" w:type="dxa"/>
            <w:tcBorders>
              <w:right w:val="single" w:color="auto" w:sz="12" w:space="0"/>
            </w:tcBorders>
            <w:noWrap/>
            <w:vAlign w:val="top"/>
          </w:tcPr>
          <w:p w14:paraId="2BF4DD6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 xml:space="preserve">固定，无松动 </w:t>
            </w:r>
          </w:p>
        </w:tc>
      </w:tr>
      <w:tr w14:paraId="60B6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ign w:val="top"/>
          </w:tcPr>
          <w:p w14:paraId="0E871DD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11</w:t>
            </w:r>
          </w:p>
        </w:tc>
        <w:tc>
          <w:tcPr>
            <w:tcW w:w="3675" w:type="dxa"/>
            <w:noWrap w:val="0"/>
            <w:vAlign w:val="top"/>
          </w:tcPr>
          <w:p w14:paraId="05E225B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轿厢和对重/平衡重的导轨</w:t>
            </w:r>
          </w:p>
        </w:tc>
        <w:tc>
          <w:tcPr>
            <w:tcW w:w="4242" w:type="dxa"/>
            <w:tcBorders>
              <w:right w:val="single" w:color="auto" w:sz="12" w:space="0"/>
            </w:tcBorders>
            <w:noWrap/>
            <w:vAlign w:val="top"/>
          </w:tcPr>
          <w:p w14:paraId="22E917E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清洁，压板牢固</w:t>
            </w:r>
          </w:p>
        </w:tc>
      </w:tr>
      <w:tr w14:paraId="2F79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ign w:val="top"/>
          </w:tcPr>
          <w:p w14:paraId="1A776A3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12</w:t>
            </w:r>
          </w:p>
        </w:tc>
        <w:tc>
          <w:tcPr>
            <w:tcW w:w="3675" w:type="dxa"/>
            <w:noWrap w:val="0"/>
            <w:vAlign w:val="top"/>
          </w:tcPr>
          <w:p w14:paraId="066B619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随行电缆</w:t>
            </w:r>
          </w:p>
        </w:tc>
        <w:tc>
          <w:tcPr>
            <w:tcW w:w="4242" w:type="dxa"/>
            <w:tcBorders>
              <w:right w:val="single" w:color="auto" w:sz="12" w:space="0"/>
            </w:tcBorders>
            <w:noWrap/>
            <w:vAlign w:val="top"/>
          </w:tcPr>
          <w:p w14:paraId="538AFAB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无损伤</w:t>
            </w:r>
          </w:p>
        </w:tc>
      </w:tr>
      <w:tr w14:paraId="4209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ign w:val="top"/>
          </w:tcPr>
          <w:p w14:paraId="5AB40E7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13</w:t>
            </w:r>
          </w:p>
        </w:tc>
        <w:tc>
          <w:tcPr>
            <w:tcW w:w="3675" w:type="dxa"/>
            <w:noWrap w:val="0"/>
            <w:vAlign w:val="top"/>
          </w:tcPr>
          <w:p w14:paraId="6745F2F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层门装置和地坎</w:t>
            </w:r>
          </w:p>
        </w:tc>
        <w:tc>
          <w:tcPr>
            <w:tcW w:w="4242" w:type="dxa"/>
            <w:tcBorders>
              <w:right w:val="single" w:color="auto" w:sz="12" w:space="0"/>
            </w:tcBorders>
            <w:noWrap/>
            <w:vAlign w:val="top"/>
          </w:tcPr>
          <w:p w14:paraId="647E553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无影响正常使用的变形，各安装螺栓紧固</w:t>
            </w:r>
          </w:p>
        </w:tc>
      </w:tr>
      <w:tr w14:paraId="1427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ign w:val="top"/>
          </w:tcPr>
          <w:p w14:paraId="67D89E6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14</w:t>
            </w:r>
          </w:p>
        </w:tc>
        <w:tc>
          <w:tcPr>
            <w:tcW w:w="3675" w:type="dxa"/>
            <w:noWrap w:val="0"/>
            <w:vAlign w:val="top"/>
          </w:tcPr>
          <w:p w14:paraId="16C688F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轿厢称重装置</w:t>
            </w:r>
          </w:p>
        </w:tc>
        <w:tc>
          <w:tcPr>
            <w:tcW w:w="4242" w:type="dxa"/>
            <w:tcBorders>
              <w:right w:val="single" w:color="auto" w:sz="12" w:space="0"/>
            </w:tcBorders>
            <w:noWrap/>
            <w:vAlign w:val="top"/>
          </w:tcPr>
          <w:p w14:paraId="5395EB3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准确有效</w:t>
            </w:r>
          </w:p>
        </w:tc>
      </w:tr>
      <w:tr w14:paraId="6BE8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ign w:val="top"/>
          </w:tcPr>
          <w:p w14:paraId="4F59AFB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15</w:t>
            </w:r>
          </w:p>
        </w:tc>
        <w:tc>
          <w:tcPr>
            <w:tcW w:w="3675" w:type="dxa"/>
            <w:noWrap w:val="0"/>
            <w:vAlign w:val="top"/>
          </w:tcPr>
          <w:p w14:paraId="56DF31F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安全钳钳座</w:t>
            </w:r>
          </w:p>
        </w:tc>
        <w:tc>
          <w:tcPr>
            <w:tcW w:w="4242" w:type="dxa"/>
            <w:tcBorders>
              <w:right w:val="single" w:color="auto" w:sz="12" w:space="0"/>
            </w:tcBorders>
            <w:noWrap/>
            <w:vAlign w:val="top"/>
          </w:tcPr>
          <w:p w14:paraId="58E5B1F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固定，无松动</w:t>
            </w:r>
          </w:p>
        </w:tc>
      </w:tr>
      <w:tr w14:paraId="616B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ign w:val="top"/>
          </w:tcPr>
          <w:p w14:paraId="3D92076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16</w:t>
            </w:r>
          </w:p>
        </w:tc>
        <w:tc>
          <w:tcPr>
            <w:tcW w:w="3675" w:type="dxa"/>
            <w:noWrap w:val="0"/>
            <w:vAlign w:val="top"/>
          </w:tcPr>
          <w:p w14:paraId="436A8E6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轿底各安装螺栓</w:t>
            </w:r>
          </w:p>
        </w:tc>
        <w:tc>
          <w:tcPr>
            <w:tcW w:w="4242" w:type="dxa"/>
            <w:tcBorders>
              <w:right w:val="single" w:color="auto" w:sz="12" w:space="0"/>
            </w:tcBorders>
            <w:noWrap/>
            <w:vAlign w:val="top"/>
          </w:tcPr>
          <w:p w14:paraId="6CC5F35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紧固</w:t>
            </w:r>
          </w:p>
        </w:tc>
      </w:tr>
      <w:tr w14:paraId="3A35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dxa"/>
            <w:tcBorders>
              <w:left w:val="single" w:color="auto" w:sz="12" w:space="0"/>
              <w:bottom w:val="single" w:color="auto" w:sz="12" w:space="0"/>
            </w:tcBorders>
            <w:noWrap/>
            <w:vAlign w:val="top"/>
          </w:tcPr>
          <w:p w14:paraId="6251BFF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17</w:t>
            </w:r>
          </w:p>
        </w:tc>
        <w:tc>
          <w:tcPr>
            <w:tcW w:w="3675" w:type="dxa"/>
            <w:tcBorders>
              <w:bottom w:val="single" w:color="auto" w:sz="12" w:space="0"/>
            </w:tcBorders>
            <w:noWrap w:val="0"/>
            <w:vAlign w:val="top"/>
          </w:tcPr>
          <w:p w14:paraId="3CAF70E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缓冲器</w:t>
            </w:r>
          </w:p>
        </w:tc>
        <w:tc>
          <w:tcPr>
            <w:tcW w:w="4242" w:type="dxa"/>
            <w:tcBorders>
              <w:bottom w:val="single" w:color="auto" w:sz="12" w:space="0"/>
              <w:right w:val="single" w:color="auto" w:sz="12" w:space="0"/>
            </w:tcBorders>
            <w:noWrap/>
            <w:vAlign w:val="top"/>
          </w:tcPr>
          <w:p w14:paraId="6DD77A3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固定，无松动</w:t>
            </w:r>
          </w:p>
        </w:tc>
      </w:tr>
    </w:tbl>
    <w:p w14:paraId="3F64761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 xml:space="preserve">  </w:t>
      </w:r>
    </w:p>
    <w:p w14:paraId="44B0196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注A-1：如果某些电梯没有表中的项目（内容），如有的电梯不含有某种部件，项目（内容）可适当进行调整（下同）。</w:t>
      </w:r>
    </w:p>
    <w:p w14:paraId="57A138F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 xml:space="preserve">       注A-2：维护保养项目（内容）和要求中对测试、试验有明确规定的，应当按照规定进行测试、试验，没有明确规</w:t>
      </w:r>
    </w:p>
    <w:p w14:paraId="1603329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定的，一般为检查、调整、清洁和润滑（下同）。</w:t>
      </w:r>
    </w:p>
    <w:p w14:paraId="608B11C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 xml:space="preserve">      注A-3：维护保养基本要求中，规定为“符合标准值”的，是指符合对应的国家标准、行业标准和制造单位要求（下同）。</w:t>
      </w:r>
    </w:p>
    <w:p w14:paraId="66E8995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注A-4：维护保养基本要求中，规定为“制造单位要求”的，按照制造单位的要求，其他没有明确“要求”的，应当为安全技术规范、标准或者制造单位等的要求（下同）。</w:t>
      </w:r>
    </w:p>
    <w:p w14:paraId="23692A48">
      <w:pPr>
        <w:widowControl/>
        <w:spacing w:line="360" w:lineRule="auto"/>
        <w:jc w:val="left"/>
        <w:rPr>
          <w:rFonts w:hint="eastAsia" w:ascii="宋体" w:hAnsi="宋体" w:eastAsia="宋体" w:cs="宋体"/>
          <w:sz w:val="24"/>
        </w:rPr>
      </w:pPr>
    </w:p>
    <w:p w14:paraId="172CB629">
      <w:pPr>
        <w:rPr>
          <w:rFonts w:hint="eastAsia" w:ascii="宋体" w:hAnsi="宋体" w:eastAsia="宋体" w:cs="宋体"/>
          <w:sz w:val="24"/>
        </w:rPr>
      </w:pPr>
    </w:p>
    <w:p w14:paraId="45FDE6A2">
      <w:pPr>
        <w:rPr>
          <w:rFonts w:hint="eastAsia" w:ascii="宋体" w:hAnsi="宋体" w:eastAsia="宋体" w:cs="宋体"/>
          <w:sz w:val="24"/>
        </w:rPr>
      </w:pPr>
    </w:p>
    <w:p w14:paraId="5AF38D53">
      <w:pPr>
        <w:rPr>
          <w:rFonts w:hint="eastAsia" w:ascii="宋体" w:hAnsi="宋体" w:eastAsia="宋体" w:cs="宋体"/>
          <w:sz w:val="24"/>
        </w:rPr>
      </w:pPr>
    </w:p>
    <w:p w14:paraId="73B1EA79">
      <w:pPr>
        <w:rPr>
          <w:rFonts w:hint="eastAsia" w:ascii="宋体" w:hAnsi="宋体" w:eastAsia="宋体" w:cs="宋体"/>
          <w:sz w:val="24"/>
        </w:rPr>
      </w:pPr>
    </w:p>
    <w:p w14:paraId="692AE369">
      <w:pPr>
        <w:spacing w:line="360" w:lineRule="auto"/>
        <w:ind w:left="0" w:leftChars="0" w:firstLine="0" w:firstLineChars="0"/>
        <w:rPr>
          <w:rFonts w:hint="eastAsia" w:ascii="宋体" w:hAnsi="宋体" w:eastAsia="宋体" w:cs="宋体"/>
          <w:b/>
          <w:bCs/>
          <w:sz w:val="24"/>
          <w:lang w:eastAsia="zh-CN"/>
        </w:rPr>
      </w:pPr>
    </w:p>
    <w:p w14:paraId="32509E51">
      <w:pPr>
        <w:spacing w:line="360" w:lineRule="auto"/>
        <w:ind w:left="0" w:leftChars="0" w:firstLine="0" w:firstLineChars="0"/>
        <w:rPr>
          <w:rFonts w:hint="eastAsia" w:ascii="宋体" w:hAnsi="宋体" w:eastAsia="宋体" w:cs="宋体"/>
          <w:b/>
          <w:bCs/>
          <w:sz w:val="24"/>
          <w:lang w:eastAsia="zh-CN"/>
        </w:rPr>
      </w:pPr>
    </w:p>
    <w:p w14:paraId="205B0B5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eastAsia="zh-CN"/>
        </w:rPr>
        <w:t>附件</w:t>
      </w:r>
      <w:r>
        <w:rPr>
          <w:rFonts w:hint="eastAsia" w:asciiTheme="minorEastAsia" w:hAnsiTheme="minorEastAsia" w:eastAsiaTheme="minorEastAsia" w:cstheme="minorEastAsia"/>
          <w:b w:val="0"/>
          <w:bCs w:val="0"/>
          <w:sz w:val="24"/>
          <w:szCs w:val="24"/>
          <w:highlight w:val="none"/>
          <w:u w:val="none"/>
          <w:lang w:val="en-US" w:eastAsia="zh-CN"/>
        </w:rPr>
        <w:t>B</w:t>
      </w:r>
      <w:r>
        <w:rPr>
          <w:rFonts w:hint="eastAsia" w:asciiTheme="minorEastAsia" w:hAnsiTheme="minorEastAsia" w:eastAsiaTheme="minorEastAsia" w:cstheme="minorEastAsia"/>
          <w:b w:val="0"/>
          <w:bCs w:val="0"/>
          <w:sz w:val="24"/>
          <w:szCs w:val="24"/>
          <w:highlight w:val="none"/>
          <w:u w:val="none"/>
        </w:rPr>
        <w:t>常用配件清单一（500元以下配件，</w:t>
      </w:r>
      <w:r>
        <w:rPr>
          <w:rFonts w:hint="eastAsia" w:asciiTheme="minorEastAsia" w:hAnsiTheme="minorEastAsia" w:eastAsiaTheme="minorEastAsia" w:cstheme="minorEastAsia"/>
          <w:b w:val="0"/>
          <w:bCs w:val="0"/>
          <w:sz w:val="24"/>
          <w:szCs w:val="24"/>
          <w:highlight w:val="none"/>
          <w:u w:val="none"/>
          <w:lang w:eastAsia="zh-CN"/>
        </w:rPr>
        <w:t>中</w:t>
      </w:r>
      <w:r>
        <w:rPr>
          <w:rFonts w:hint="eastAsia" w:asciiTheme="minorEastAsia" w:hAnsiTheme="minorEastAsia" w:eastAsiaTheme="minorEastAsia" w:cstheme="minorEastAsia"/>
          <w:b w:val="0"/>
          <w:bCs w:val="0"/>
          <w:sz w:val="24"/>
          <w:szCs w:val="24"/>
          <w:highlight w:val="none"/>
          <w:u w:val="none"/>
        </w:rPr>
        <w:t>标方免费提供）</w:t>
      </w:r>
    </w:p>
    <w:p w14:paraId="19178E4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p>
    <w:tbl>
      <w:tblPr>
        <w:tblStyle w:val="19"/>
        <w:tblpPr w:leftFromText="180" w:rightFromText="180" w:vertAnchor="text" w:horzAnchor="page" w:tblpXSpec="center" w:tblpY="75"/>
        <w:tblOverlap w:val="never"/>
        <w:tblW w:w="9220" w:type="dxa"/>
        <w:jc w:val="center"/>
        <w:tblLayout w:type="fixed"/>
        <w:tblCellMar>
          <w:top w:w="0" w:type="dxa"/>
          <w:left w:w="108" w:type="dxa"/>
          <w:bottom w:w="0" w:type="dxa"/>
          <w:right w:w="108" w:type="dxa"/>
        </w:tblCellMar>
      </w:tblPr>
      <w:tblGrid>
        <w:gridCol w:w="3619"/>
        <w:gridCol w:w="1635"/>
        <w:gridCol w:w="1935"/>
        <w:gridCol w:w="2031"/>
      </w:tblGrid>
      <w:tr w14:paraId="3BB59396">
        <w:tblPrEx>
          <w:tblCellMar>
            <w:top w:w="0" w:type="dxa"/>
            <w:left w:w="108" w:type="dxa"/>
            <w:bottom w:w="0" w:type="dxa"/>
            <w:right w:w="108" w:type="dxa"/>
          </w:tblCellMar>
        </w:tblPrEx>
        <w:trPr>
          <w:trHeight w:val="312" w:hRule="atLeast"/>
          <w:jc w:val="center"/>
        </w:trPr>
        <w:tc>
          <w:tcPr>
            <w:tcW w:w="3619" w:type="dxa"/>
            <w:vMerge w:val="restart"/>
            <w:tcBorders>
              <w:top w:val="single" w:color="auto" w:sz="4" w:space="0"/>
              <w:left w:val="single" w:color="auto" w:sz="4" w:space="0"/>
              <w:bottom w:val="single" w:color="auto" w:sz="4" w:space="0"/>
              <w:right w:val="single" w:color="auto" w:sz="4" w:space="0"/>
            </w:tcBorders>
            <w:noWrap/>
            <w:vAlign w:val="center"/>
          </w:tcPr>
          <w:p w14:paraId="3D41F72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配件名称</w:t>
            </w:r>
          </w:p>
        </w:tc>
        <w:tc>
          <w:tcPr>
            <w:tcW w:w="1635" w:type="dxa"/>
            <w:vMerge w:val="restart"/>
            <w:tcBorders>
              <w:top w:val="single" w:color="auto" w:sz="4" w:space="0"/>
              <w:left w:val="single" w:color="auto" w:sz="4" w:space="0"/>
              <w:bottom w:val="nil"/>
              <w:right w:val="nil"/>
            </w:tcBorders>
            <w:noWrap/>
            <w:vAlign w:val="center"/>
          </w:tcPr>
          <w:p w14:paraId="7D6C17C0">
            <w:pPr>
              <w:keepNext w:val="0"/>
              <w:keepLines w:val="0"/>
              <w:pageBreakBefore w:val="0"/>
              <w:widowControl w:val="0"/>
              <w:kinsoku/>
              <w:wordWrap/>
              <w:overflowPunct/>
              <w:topLinePunct w:val="0"/>
              <w:autoSpaceDE/>
              <w:autoSpaceDN/>
              <w:bidi w:val="0"/>
              <w:adjustRightInd/>
              <w:snapToGrid/>
              <w:spacing w:line="360" w:lineRule="exact"/>
              <w:ind w:left="0" w:leftChars="0" w:firstLine="240" w:firstLineChars="1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配件价格</w:t>
            </w:r>
          </w:p>
        </w:tc>
        <w:tc>
          <w:tcPr>
            <w:tcW w:w="1935" w:type="dxa"/>
            <w:vMerge w:val="restart"/>
            <w:tcBorders>
              <w:top w:val="single" w:color="auto" w:sz="4" w:space="0"/>
              <w:left w:val="single" w:color="auto" w:sz="4" w:space="0"/>
              <w:bottom w:val="single" w:color="auto" w:sz="4" w:space="0"/>
              <w:right w:val="single" w:color="auto" w:sz="4" w:space="0"/>
            </w:tcBorders>
            <w:noWrap/>
            <w:vAlign w:val="center"/>
          </w:tcPr>
          <w:p w14:paraId="0D968AD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发货周期</w:t>
            </w:r>
          </w:p>
        </w:tc>
        <w:tc>
          <w:tcPr>
            <w:tcW w:w="2031" w:type="dxa"/>
            <w:vMerge w:val="restart"/>
            <w:tcBorders>
              <w:top w:val="single" w:color="auto" w:sz="4" w:space="0"/>
              <w:left w:val="single" w:color="auto" w:sz="4" w:space="0"/>
              <w:bottom w:val="single" w:color="auto" w:sz="4" w:space="0"/>
              <w:right w:val="single" w:color="auto" w:sz="4" w:space="0"/>
            </w:tcBorders>
            <w:noWrap/>
            <w:vAlign w:val="center"/>
          </w:tcPr>
          <w:p w14:paraId="7E1B2BC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eastAsia="zh-CN"/>
              </w:rPr>
              <w:t>质保期</w:t>
            </w:r>
          </w:p>
        </w:tc>
      </w:tr>
      <w:tr w14:paraId="25AA6141">
        <w:tblPrEx>
          <w:tblCellMar>
            <w:top w:w="0" w:type="dxa"/>
            <w:left w:w="108" w:type="dxa"/>
            <w:bottom w:w="0" w:type="dxa"/>
            <w:right w:w="108" w:type="dxa"/>
          </w:tblCellMar>
        </w:tblPrEx>
        <w:trPr>
          <w:trHeight w:val="312" w:hRule="atLeast"/>
          <w:jc w:val="center"/>
        </w:trPr>
        <w:tc>
          <w:tcPr>
            <w:tcW w:w="3619" w:type="dxa"/>
            <w:vMerge w:val="continue"/>
            <w:tcBorders>
              <w:top w:val="single" w:color="auto" w:sz="4" w:space="0"/>
              <w:left w:val="single" w:color="auto" w:sz="4" w:space="0"/>
              <w:bottom w:val="single" w:color="auto" w:sz="4" w:space="0"/>
              <w:right w:val="single" w:color="auto" w:sz="4" w:space="0"/>
            </w:tcBorders>
            <w:noWrap w:val="0"/>
            <w:vAlign w:val="center"/>
          </w:tcPr>
          <w:p w14:paraId="0F58511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635" w:type="dxa"/>
            <w:vMerge w:val="continue"/>
            <w:tcBorders>
              <w:top w:val="single" w:color="auto" w:sz="4" w:space="0"/>
              <w:left w:val="single" w:color="auto" w:sz="4" w:space="0"/>
              <w:bottom w:val="nil"/>
              <w:right w:val="nil"/>
            </w:tcBorders>
            <w:noWrap w:val="0"/>
            <w:vAlign w:val="center"/>
          </w:tcPr>
          <w:p w14:paraId="53E713E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935" w:type="dxa"/>
            <w:vMerge w:val="continue"/>
            <w:tcBorders>
              <w:top w:val="single" w:color="auto" w:sz="4" w:space="0"/>
              <w:left w:val="single" w:color="auto" w:sz="4" w:space="0"/>
              <w:bottom w:val="single" w:color="auto" w:sz="4" w:space="0"/>
              <w:right w:val="single" w:color="auto" w:sz="4" w:space="0"/>
            </w:tcBorders>
            <w:noWrap w:val="0"/>
            <w:vAlign w:val="center"/>
          </w:tcPr>
          <w:p w14:paraId="38660B6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2031" w:type="dxa"/>
            <w:vMerge w:val="continue"/>
            <w:tcBorders>
              <w:top w:val="single" w:color="auto" w:sz="4" w:space="0"/>
              <w:left w:val="single" w:color="auto" w:sz="4" w:space="0"/>
              <w:bottom w:val="single" w:color="auto" w:sz="4" w:space="0"/>
              <w:right w:val="single" w:color="auto" w:sz="4" w:space="0"/>
            </w:tcBorders>
            <w:noWrap w:val="0"/>
            <w:vAlign w:val="center"/>
          </w:tcPr>
          <w:p w14:paraId="315F783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r>
      <w:tr w14:paraId="377B72FA">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71C95C7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门滑块</w:t>
            </w:r>
          </w:p>
        </w:tc>
        <w:tc>
          <w:tcPr>
            <w:tcW w:w="1635" w:type="dxa"/>
            <w:tcBorders>
              <w:top w:val="single" w:color="auto" w:sz="4" w:space="0"/>
              <w:left w:val="nil"/>
              <w:bottom w:val="single" w:color="auto" w:sz="4" w:space="0"/>
              <w:right w:val="single" w:color="auto" w:sz="4" w:space="0"/>
            </w:tcBorders>
            <w:noWrap/>
            <w:vAlign w:val="center"/>
          </w:tcPr>
          <w:p w14:paraId="47E14D0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000000" w:sz="4" w:space="0"/>
            </w:tcBorders>
            <w:noWrap/>
            <w:vAlign w:val="bottom"/>
          </w:tcPr>
          <w:p w14:paraId="143073B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1个工作日</w:t>
            </w:r>
          </w:p>
        </w:tc>
        <w:tc>
          <w:tcPr>
            <w:tcW w:w="2031" w:type="dxa"/>
            <w:tcBorders>
              <w:top w:val="nil"/>
              <w:left w:val="nil"/>
              <w:bottom w:val="single" w:color="auto" w:sz="4" w:space="0"/>
              <w:right w:val="single" w:color="auto" w:sz="4" w:space="0"/>
            </w:tcBorders>
            <w:noWrap/>
            <w:vAlign w:val="bottom"/>
          </w:tcPr>
          <w:p w14:paraId="1C87923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eastAsia="zh-CN"/>
              </w:rPr>
              <w:t>三个月</w:t>
            </w:r>
            <w:r>
              <w:rPr>
                <w:rFonts w:hint="eastAsia" w:asciiTheme="minorEastAsia" w:hAnsiTheme="minorEastAsia" w:eastAsiaTheme="minorEastAsia" w:cstheme="minorEastAsia"/>
                <w:b w:val="0"/>
                <w:bCs w:val="0"/>
                <w:sz w:val="24"/>
                <w:szCs w:val="24"/>
                <w:highlight w:val="none"/>
                <w:u w:val="none"/>
              </w:rPr>
              <w:t>　</w:t>
            </w:r>
          </w:p>
        </w:tc>
      </w:tr>
      <w:tr w14:paraId="6BBE8822">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593FE12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棉芯</w:t>
            </w:r>
          </w:p>
        </w:tc>
        <w:tc>
          <w:tcPr>
            <w:tcW w:w="1635" w:type="dxa"/>
            <w:tcBorders>
              <w:top w:val="nil"/>
              <w:left w:val="nil"/>
              <w:bottom w:val="single" w:color="auto" w:sz="4" w:space="0"/>
              <w:right w:val="single" w:color="auto" w:sz="4" w:space="0"/>
            </w:tcBorders>
            <w:noWrap/>
            <w:vAlign w:val="center"/>
          </w:tcPr>
          <w:p w14:paraId="5195F7C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000000" w:sz="4" w:space="0"/>
            </w:tcBorders>
            <w:noWrap/>
            <w:vAlign w:val="bottom"/>
          </w:tcPr>
          <w:p w14:paraId="118315A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1个工作日</w:t>
            </w:r>
          </w:p>
        </w:tc>
        <w:tc>
          <w:tcPr>
            <w:tcW w:w="2031" w:type="dxa"/>
            <w:tcBorders>
              <w:top w:val="nil"/>
              <w:left w:val="nil"/>
              <w:bottom w:val="single" w:color="auto" w:sz="4" w:space="0"/>
              <w:right w:val="single" w:color="auto" w:sz="4" w:space="0"/>
            </w:tcBorders>
            <w:noWrap/>
            <w:vAlign w:val="bottom"/>
          </w:tcPr>
          <w:p w14:paraId="7AEBFA1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12BE3190">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6BE2058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停用UKS开关</w:t>
            </w:r>
          </w:p>
        </w:tc>
        <w:tc>
          <w:tcPr>
            <w:tcW w:w="1635" w:type="dxa"/>
            <w:tcBorders>
              <w:top w:val="nil"/>
              <w:left w:val="nil"/>
              <w:bottom w:val="single" w:color="auto" w:sz="4" w:space="0"/>
              <w:right w:val="single" w:color="auto" w:sz="4" w:space="0"/>
            </w:tcBorders>
            <w:noWrap/>
            <w:vAlign w:val="center"/>
          </w:tcPr>
          <w:p w14:paraId="746AC0D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000000" w:sz="4" w:space="0"/>
            </w:tcBorders>
            <w:noWrap/>
            <w:vAlign w:val="bottom"/>
          </w:tcPr>
          <w:p w14:paraId="7838712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1个工作日</w:t>
            </w:r>
          </w:p>
        </w:tc>
        <w:tc>
          <w:tcPr>
            <w:tcW w:w="2031" w:type="dxa"/>
            <w:tcBorders>
              <w:top w:val="nil"/>
              <w:left w:val="nil"/>
              <w:bottom w:val="single" w:color="auto" w:sz="4" w:space="0"/>
              <w:right w:val="single" w:color="auto" w:sz="4" w:space="0"/>
            </w:tcBorders>
            <w:noWrap/>
            <w:vAlign w:val="bottom"/>
          </w:tcPr>
          <w:p w14:paraId="39D6712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7089A59A">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center"/>
          </w:tcPr>
          <w:p w14:paraId="1D94C0A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三菱滑块</w:t>
            </w:r>
          </w:p>
        </w:tc>
        <w:tc>
          <w:tcPr>
            <w:tcW w:w="1635" w:type="dxa"/>
            <w:tcBorders>
              <w:top w:val="nil"/>
              <w:left w:val="nil"/>
              <w:bottom w:val="single" w:color="auto" w:sz="4" w:space="0"/>
              <w:right w:val="single" w:color="auto" w:sz="4" w:space="0"/>
            </w:tcBorders>
            <w:noWrap/>
            <w:vAlign w:val="center"/>
          </w:tcPr>
          <w:p w14:paraId="3640D46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000000" w:sz="4" w:space="0"/>
            </w:tcBorders>
            <w:noWrap/>
            <w:vAlign w:val="bottom"/>
          </w:tcPr>
          <w:p w14:paraId="75F0727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1个工作日</w:t>
            </w:r>
          </w:p>
        </w:tc>
        <w:tc>
          <w:tcPr>
            <w:tcW w:w="2031" w:type="dxa"/>
            <w:tcBorders>
              <w:top w:val="nil"/>
              <w:left w:val="nil"/>
              <w:bottom w:val="single" w:color="auto" w:sz="4" w:space="0"/>
              <w:right w:val="single" w:color="auto" w:sz="4" w:space="0"/>
            </w:tcBorders>
            <w:noWrap/>
            <w:vAlign w:val="bottom"/>
          </w:tcPr>
          <w:p w14:paraId="1767AF7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0E4F0377">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center"/>
          </w:tcPr>
          <w:p w14:paraId="40F5A66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UKS开关</w:t>
            </w:r>
          </w:p>
        </w:tc>
        <w:tc>
          <w:tcPr>
            <w:tcW w:w="1635" w:type="dxa"/>
            <w:tcBorders>
              <w:top w:val="nil"/>
              <w:left w:val="nil"/>
              <w:bottom w:val="single" w:color="auto" w:sz="4" w:space="0"/>
              <w:right w:val="single" w:color="auto" w:sz="4" w:space="0"/>
            </w:tcBorders>
            <w:noWrap/>
            <w:vAlign w:val="center"/>
          </w:tcPr>
          <w:p w14:paraId="28AC4BF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000000" w:sz="4" w:space="0"/>
            </w:tcBorders>
            <w:noWrap/>
            <w:vAlign w:val="bottom"/>
          </w:tcPr>
          <w:p w14:paraId="68D88B2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1个工作日</w:t>
            </w:r>
          </w:p>
        </w:tc>
        <w:tc>
          <w:tcPr>
            <w:tcW w:w="2031" w:type="dxa"/>
            <w:tcBorders>
              <w:top w:val="nil"/>
              <w:left w:val="nil"/>
              <w:bottom w:val="single" w:color="auto" w:sz="4" w:space="0"/>
              <w:right w:val="single" w:color="auto" w:sz="4" w:space="0"/>
            </w:tcBorders>
            <w:noWrap/>
            <w:vAlign w:val="bottom"/>
          </w:tcPr>
          <w:p w14:paraId="4C65665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543E096A">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center"/>
          </w:tcPr>
          <w:p w14:paraId="4EDA453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启辉器</w:t>
            </w:r>
          </w:p>
        </w:tc>
        <w:tc>
          <w:tcPr>
            <w:tcW w:w="1635" w:type="dxa"/>
            <w:tcBorders>
              <w:top w:val="nil"/>
              <w:left w:val="nil"/>
              <w:bottom w:val="single" w:color="auto" w:sz="4" w:space="0"/>
              <w:right w:val="single" w:color="auto" w:sz="4" w:space="0"/>
            </w:tcBorders>
            <w:noWrap/>
            <w:vAlign w:val="center"/>
          </w:tcPr>
          <w:p w14:paraId="449B06E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000000" w:sz="4" w:space="0"/>
            </w:tcBorders>
            <w:noWrap/>
            <w:vAlign w:val="bottom"/>
          </w:tcPr>
          <w:p w14:paraId="0E63EB4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1个工作日</w:t>
            </w:r>
          </w:p>
        </w:tc>
        <w:tc>
          <w:tcPr>
            <w:tcW w:w="2031" w:type="dxa"/>
            <w:tcBorders>
              <w:top w:val="nil"/>
              <w:left w:val="nil"/>
              <w:bottom w:val="single" w:color="auto" w:sz="4" w:space="0"/>
              <w:right w:val="single" w:color="auto" w:sz="4" w:space="0"/>
            </w:tcBorders>
            <w:noWrap/>
            <w:vAlign w:val="bottom"/>
          </w:tcPr>
          <w:p w14:paraId="4174E70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0AC7BF9B">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center"/>
          </w:tcPr>
          <w:p w14:paraId="184B33F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飞利浦20W灯管</w:t>
            </w:r>
          </w:p>
        </w:tc>
        <w:tc>
          <w:tcPr>
            <w:tcW w:w="1635" w:type="dxa"/>
            <w:tcBorders>
              <w:top w:val="nil"/>
              <w:left w:val="nil"/>
              <w:bottom w:val="single" w:color="auto" w:sz="4" w:space="0"/>
              <w:right w:val="single" w:color="auto" w:sz="4" w:space="0"/>
            </w:tcBorders>
            <w:noWrap/>
            <w:vAlign w:val="center"/>
          </w:tcPr>
          <w:p w14:paraId="4553BBD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000000" w:sz="4" w:space="0"/>
            </w:tcBorders>
            <w:noWrap/>
            <w:vAlign w:val="bottom"/>
          </w:tcPr>
          <w:p w14:paraId="63BF7DA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1个工作日</w:t>
            </w:r>
          </w:p>
        </w:tc>
        <w:tc>
          <w:tcPr>
            <w:tcW w:w="2031" w:type="dxa"/>
            <w:tcBorders>
              <w:top w:val="nil"/>
              <w:left w:val="nil"/>
              <w:bottom w:val="single" w:color="auto" w:sz="4" w:space="0"/>
              <w:right w:val="single" w:color="auto" w:sz="4" w:space="0"/>
            </w:tcBorders>
            <w:noWrap/>
            <w:vAlign w:val="bottom"/>
          </w:tcPr>
          <w:p w14:paraId="4BB2807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60FA2D12">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noWrap/>
            <w:vAlign w:val="center"/>
          </w:tcPr>
          <w:p w14:paraId="4804E7A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Z-15GDA55-B5V欧姆龙开关</w:t>
            </w:r>
          </w:p>
        </w:tc>
        <w:tc>
          <w:tcPr>
            <w:tcW w:w="1635" w:type="dxa"/>
            <w:tcBorders>
              <w:top w:val="nil"/>
              <w:left w:val="nil"/>
              <w:bottom w:val="single" w:color="auto" w:sz="4" w:space="0"/>
              <w:right w:val="single" w:color="auto" w:sz="4" w:space="0"/>
            </w:tcBorders>
            <w:noWrap/>
            <w:vAlign w:val="center"/>
          </w:tcPr>
          <w:p w14:paraId="2BBCCA6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000000" w:sz="4" w:space="0"/>
            </w:tcBorders>
            <w:noWrap/>
            <w:vAlign w:val="bottom"/>
          </w:tcPr>
          <w:p w14:paraId="3199E09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1个工作日</w:t>
            </w:r>
          </w:p>
        </w:tc>
        <w:tc>
          <w:tcPr>
            <w:tcW w:w="2031" w:type="dxa"/>
            <w:tcBorders>
              <w:top w:val="nil"/>
              <w:left w:val="nil"/>
              <w:bottom w:val="single" w:color="auto" w:sz="4" w:space="0"/>
              <w:right w:val="single" w:color="auto" w:sz="4" w:space="0"/>
            </w:tcBorders>
            <w:noWrap/>
            <w:vAlign w:val="bottom"/>
          </w:tcPr>
          <w:p w14:paraId="4020DC1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4CBFB0A5">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0611D77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航灯AC220V</w:t>
            </w:r>
          </w:p>
        </w:tc>
        <w:tc>
          <w:tcPr>
            <w:tcW w:w="1635" w:type="dxa"/>
            <w:tcBorders>
              <w:top w:val="nil"/>
              <w:left w:val="nil"/>
              <w:bottom w:val="single" w:color="auto" w:sz="4" w:space="0"/>
              <w:right w:val="single" w:color="auto" w:sz="4" w:space="0"/>
            </w:tcBorders>
            <w:noWrap/>
            <w:vAlign w:val="center"/>
          </w:tcPr>
          <w:p w14:paraId="63BCE17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000000" w:sz="4" w:space="0"/>
            </w:tcBorders>
            <w:noWrap/>
            <w:vAlign w:val="bottom"/>
          </w:tcPr>
          <w:p w14:paraId="01900DB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1个工作日</w:t>
            </w:r>
          </w:p>
        </w:tc>
        <w:tc>
          <w:tcPr>
            <w:tcW w:w="2031" w:type="dxa"/>
            <w:tcBorders>
              <w:top w:val="nil"/>
              <w:left w:val="nil"/>
              <w:bottom w:val="single" w:color="auto" w:sz="4" w:space="0"/>
              <w:right w:val="single" w:color="auto" w:sz="4" w:space="0"/>
            </w:tcBorders>
            <w:noWrap/>
            <w:vAlign w:val="bottom"/>
          </w:tcPr>
          <w:p w14:paraId="0FECFD4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28EC1B25">
        <w:tblPrEx>
          <w:tblCellMar>
            <w:top w:w="0" w:type="dxa"/>
            <w:left w:w="108" w:type="dxa"/>
            <w:bottom w:w="0" w:type="dxa"/>
            <w:right w:w="108" w:type="dxa"/>
          </w:tblCellMar>
        </w:tblPrEx>
        <w:trPr>
          <w:trHeight w:val="270" w:hRule="atLeast"/>
          <w:jc w:val="center"/>
        </w:trPr>
        <w:tc>
          <w:tcPr>
            <w:tcW w:w="3619" w:type="dxa"/>
            <w:tcBorders>
              <w:top w:val="single" w:color="auto" w:sz="4" w:space="0"/>
              <w:left w:val="single" w:color="auto" w:sz="4" w:space="0"/>
              <w:bottom w:val="single" w:color="auto" w:sz="4" w:space="0"/>
              <w:right w:val="single" w:color="auto" w:sz="4" w:space="0"/>
            </w:tcBorders>
            <w:shd w:val="clear" w:color="FFFFFF" w:fill="FFFFFF"/>
            <w:noWrap/>
            <w:vAlign w:val="bottom"/>
          </w:tcPr>
          <w:p w14:paraId="71617EE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按钮</w:t>
            </w:r>
          </w:p>
        </w:tc>
        <w:tc>
          <w:tcPr>
            <w:tcW w:w="1635" w:type="dxa"/>
            <w:tcBorders>
              <w:top w:val="single" w:color="auto" w:sz="4" w:space="0"/>
              <w:left w:val="nil"/>
              <w:bottom w:val="single" w:color="auto" w:sz="4" w:space="0"/>
              <w:right w:val="single" w:color="auto" w:sz="4" w:space="0"/>
            </w:tcBorders>
            <w:noWrap/>
            <w:vAlign w:val="center"/>
          </w:tcPr>
          <w:p w14:paraId="4C27B5D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000000" w:sz="4" w:space="0"/>
            </w:tcBorders>
            <w:noWrap/>
            <w:vAlign w:val="bottom"/>
          </w:tcPr>
          <w:p w14:paraId="78A2949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1个工作日</w:t>
            </w:r>
          </w:p>
        </w:tc>
        <w:tc>
          <w:tcPr>
            <w:tcW w:w="2031" w:type="dxa"/>
            <w:tcBorders>
              <w:top w:val="single" w:color="auto" w:sz="4" w:space="0"/>
              <w:left w:val="nil"/>
              <w:bottom w:val="single" w:color="auto" w:sz="4" w:space="0"/>
              <w:right w:val="single" w:color="auto" w:sz="4" w:space="0"/>
            </w:tcBorders>
            <w:noWrap/>
            <w:vAlign w:val="bottom"/>
          </w:tcPr>
          <w:p w14:paraId="55F972F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05C4FD1D">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4E3270C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4.3寸STN-LCD单梯显示</w:t>
            </w:r>
          </w:p>
        </w:tc>
        <w:tc>
          <w:tcPr>
            <w:tcW w:w="1635" w:type="dxa"/>
            <w:tcBorders>
              <w:top w:val="nil"/>
              <w:left w:val="nil"/>
              <w:bottom w:val="single" w:color="auto" w:sz="4" w:space="0"/>
              <w:right w:val="single" w:color="auto" w:sz="4" w:space="0"/>
            </w:tcBorders>
            <w:noWrap/>
            <w:vAlign w:val="center"/>
          </w:tcPr>
          <w:p w14:paraId="5E8CADA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auto" w:sz="4" w:space="0"/>
            </w:tcBorders>
            <w:noWrap/>
            <w:vAlign w:val="bottom"/>
          </w:tcPr>
          <w:p w14:paraId="5D901B9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3个工作日</w:t>
            </w:r>
          </w:p>
        </w:tc>
        <w:tc>
          <w:tcPr>
            <w:tcW w:w="2031" w:type="dxa"/>
            <w:tcBorders>
              <w:top w:val="nil"/>
              <w:left w:val="nil"/>
              <w:bottom w:val="single" w:color="auto" w:sz="4" w:space="0"/>
              <w:right w:val="single" w:color="auto" w:sz="4" w:space="0"/>
            </w:tcBorders>
            <w:noWrap/>
            <w:vAlign w:val="bottom"/>
          </w:tcPr>
          <w:p w14:paraId="7F2CA88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2C0A0B5E">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681A7B8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CEDES光电NC</w:t>
            </w:r>
          </w:p>
        </w:tc>
        <w:tc>
          <w:tcPr>
            <w:tcW w:w="1635" w:type="dxa"/>
            <w:tcBorders>
              <w:top w:val="nil"/>
              <w:left w:val="nil"/>
              <w:bottom w:val="single" w:color="auto" w:sz="4" w:space="0"/>
              <w:right w:val="single" w:color="auto" w:sz="4" w:space="0"/>
            </w:tcBorders>
            <w:noWrap/>
            <w:vAlign w:val="center"/>
          </w:tcPr>
          <w:p w14:paraId="5F58BAB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auto" w:sz="4" w:space="0"/>
            </w:tcBorders>
            <w:noWrap/>
            <w:vAlign w:val="bottom"/>
          </w:tcPr>
          <w:p w14:paraId="10A7B18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3个工作日</w:t>
            </w:r>
          </w:p>
        </w:tc>
        <w:tc>
          <w:tcPr>
            <w:tcW w:w="2031" w:type="dxa"/>
            <w:tcBorders>
              <w:top w:val="nil"/>
              <w:left w:val="nil"/>
              <w:bottom w:val="single" w:color="auto" w:sz="4" w:space="0"/>
              <w:right w:val="single" w:color="auto" w:sz="4" w:space="0"/>
            </w:tcBorders>
            <w:noWrap/>
            <w:vAlign w:val="bottom"/>
          </w:tcPr>
          <w:p w14:paraId="4C3FD46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4E75D165">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175DFE0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HBP11分体式单梯消防盒</w:t>
            </w:r>
          </w:p>
        </w:tc>
        <w:tc>
          <w:tcPr>
            <w:tcW w:w="1635" w:type="dxa"/>
            <w:tcBorders>
              <w:top w:val="nil"/>
              <w:left w:val="nil"/>
              <w:bottom w:val="single" w:color="auto" w:sz="4" w:space="0"/>
              <w:right w:val="single" w:color="auto" w:sz="4" w:space="0"/>
            </w:tcBorders>
            <w:noWrap/>
            <w:vAlign w:val="center"/>
          </w:tcPr>
          <w:p w14:paraId="693CAD2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auto" w:sz="4" w:space="0"/>
            </w:tcBorders>
            <w:noWrap/>
            <w:vAlign w:val="bottom"/>
          </w:tcPr>
          <w:p w14:paraId="42A9872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3个工作日</w:t>
            </w:r>
          </w:p>
        </w:tc>
        <w:tc>
          <w:tcPr>
            <w:tcW w:w="2031" w:type="dxa"/>
            <w:tcBorders>
              <w:top w:val="nil"/>
              <w:left w:val="nil"/>
              <w:bottom w:val="single" w:color="auto" w:sz="4" w:space="0"/>
              <w:right w:val="single" w:color="auto" w:sz="4" w:space="0"/>
            </w:tcBorders>
            <w:noWrap/>
            <w:vAlign w:val="bottom"/>
          </w:tcPr>
          <w:p w14:paraId="0E71005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3F1F7B16">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182C76F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CEDES光电NC</w:t>
            </w:r>
          </w:p>
        </w:tc>
        <w:tc>
          <w:tcPr>
            <w:tcW w:w="1635" w:type="dxa"/>
            <w:tcBorders>
              <w:top w:val="nil"/>
              <w:left w:val="nil"/>
              <w:bottom w:val="single" w:color="auto" w:sz="4" w:space="0"/>
              <w:right w:val="single" w:color="auto" w:sz="4" w:space="0"/>
            </w:tcBorders>
            <w:noWrap/>
            <w:vAlign w:val="center"/>
          </w:tcPr>
          <w:p w14:paraId="5C282CB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auto" w:sz="4" w:space="0"/>
            </w:tcBorders>
            <w:noWrap/>
            <w:vAlign w:val="bottom"/>
          </w:tcPr>
          <w:p w14:paraId="4D33894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3个工作日</w:t>
            </w:r>
          </w:p>
        </w:tc>
        <w:tc>
          <w:tcPr>
            <w:tcW w:w="2031" w:type="dxa"/>
            <w:tcBorders>
              <w:top w:val="nil"/>
              <w:left w:val="nil"/>
              <w:bottom w:val="single" w:color="auto" w:sz="4" w:space="0"/>
              <w:right w:val="single" w:color="auto" w:sz="4" w:space="0"/>
            </w:tcBorders>
            <w:noWrap/>
            <w:vAlign w:val="bottom"/>
          </w:tcPr>
          <w:p w14:paraId="67BE669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58DBEA81">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473A162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RS5板</w:t>
            </w:r>
          </w:p>
        </w:tc>
        <w:tc>
          <w:tcPr>
            <w:tcW w:w="1635" w:type="dxa"/>
            <w:tcBorders>
              <w:top w:val="nil"/>
              <w:left w:val="nil"/>
              <w:bottom w:val="single" w:color="auto" w:sz="4" w:space="0"/>
              <w:right w:val="single" w:color="auto" w:sz="4" w:space="0"/>
            </w:tcBorders>
            <w:noWrap/>
            <w:vAlign w:val="center"/>
          </w:tcPr>
          <w:p w14:paraId="4B503E9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auto" w:sz="4" w:space="0"/>
            </w:tcBorders>
            <w:noWrap/>
            <w:vAlign w:val="bottom"/>
          </w:tcPr>
          <w:p w14:paraId="0862DE9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3个工作日</w:t>
            </w:r>
          </w:p>
        </w:tc>
        <w:tc>
          <w:tcPr>
            <w:tcW w:w="2031" w:type="dxa"/>
            <w:tcBorders>
              <w:top w:val="nil"/>
              <w:left w:val="nil"/>
              <w:bottom w:val="single" w:color="auto" w:sz="4" w:space="0"/>
              <w:right w:val="single" w:color="auto" w:sz="4" w:space="0"/>
            </w:tcBorders>
            <w:noWrap/>
            <w:vAlign w:val="bottom"/>
          </w:tcPr>
          <w:p w14:paraId="10FAE88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303DA749">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4BC375C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补偿链导向装置</w:t>
            </w:r>
          </w:p>
        </w:tc>
        <w:tc>
          <w:tcPr>
            <w:tcW w:w="1635" w:type="dxa"/>
            <w:tcBorders>
              <w:top w:val="nil"/>
              <w:left w:val="nil"/>
              <w:bottom w:val="single" w:color="auto" w:sz="4" w:space="0"/>
              <w:right w:val="single" w:color="auto" w:sz="4" w:space="0"/>
            </w:tcBorders>
            <w:noWrap/>
            <w:vAlign w:val="center"/>
          </w:tcPr>
          <w:p w14:paraId="42B36F6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auto" w:sz="4" w:space="0"/>
            </w:tcBorders>
            <w:noWrap/>
            <w:vAlign w:val="bottom"/>
          </w:tcPr>
          <w:p w14:paraId="43AC405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3个工作日</w:t>
            </w:r>
          </w:p>
        </w:tc>
        <w:tc>
          <w:tcPr>
            <w:tcW w:w="2031" w:type="dxa"/>
            <w:tcBorders>
              <w:top w:val="nil"/>
              <w:left w:val="nil"/>
              <w:bottom w:val="single" w:color="auto" w:sz="4" w:space="0"/>
              <w:right w:val="single" w:color="auto" w:sz="4" w:space="0"/>
            </w:tcBorders>
            <w:noWrap/>
            <w:vAlign w:val="bottom"/>
          </w:tcPr>
          <w:p w14:paraId="658FE3E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449B10F0">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662BDEC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底坑检修盒（1A）</w:t>
            </w:r>
          </w:p>
        </w:tc>
        <w:tc>
          <w:tcPr>
            <w:tcW w:w="1635" w:type="dxa"/>
            <w:tcBorders>
              <w:top w:val="nil"/>
              <w:left w:val="nil"/>
              <w:bottom w:val="single" w:color="auto" w:sz="4" w:space="0"/>
              <w:right w:val="single" w:color="auto" w:sz="4" w:space="0"/>
            </w:tcBorders>
            <w:noWrap/>
            <w:vAlign w:val="center"/>
          </w:tcPr>
          <w:p w14:paraId="4DE99AB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auto" w:sz="4" w:space="0"/>
            </w:tcBorders>
            <w:noWrap/>
            <w:vAlign w:val="bottom"/>
          </w:tcPr>
          <w:p w14:paraId="3FCC97C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3个工作日</w:t>
            </w:r>
          </w:p>
        </w:tc>
        <w:tc>
          <w:tcPr>
            <w:tcW w:w="2031" w:type="dxa"/>
            <w:tcBorders>
              <w:top w:val="nil"/>
              <w:left w:val="nil"/>
              <w:bottom w:val="single" w:color="auto" w:sz="4" w:space="0"/>
              <w:right w:val="single" w:color="auto" w:sz="4" w:space="0"/>
            </w:tcBorders>
            <w:noWrap/>
            <w:vAlign w:val="bottom"/>
          </w:tcPr>
          <w:p w14:paraId="123BB0A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0FC462D5">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5A9D3A5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BY抱闸接触器(西门子3RT1016-2AF04 AC110V)</w:t>
            </w:r>
          </w:p>
        </w:tc>
        <w:tc>
          <w:tcPr>
            <w:tcW w:w="1635" w:type="dxa"/>
            <w:tcBorders>
              <w:top w:val="nil"/>
              <w:left w:val="nil"/>
              <w:bottom w:val="single" w:color="auto" w:sz="4" w:space="0"/>
              <w:right w:val="single" w:color="auto" w:sz="4" w:space="0"/>
            </w:tcBorders>
            <w:noWrap/>
            <w:vAlign w:val="center"/>
          </w:tcPr>
          <w:p w14:paraId="773BFE9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auto" w:sz="4" w:space="0"/>
            </w:tcBorders>
            <w:noWrap/>
            <w:vAlign w:val="bottom"/>
          </w:tcPr>
          <w:p w14:paraId="2E822BA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3个工作日</w:t>
            </w:r>
          </w:p>
        </w:tc>
        <w:tc>
          <w:tcPr>
            <w:tcW w:w="2031" w:type="dxa"/>
            <w:tcBorders>
              <w:top w:val="nil"/>
              <w:left w:val="nil"/>
              <w:bottom w:val="single" w:color="auto" w:sz="4" w:space="0"/>
              <w:right w:val="single" w:color="auto" w:sz="4" w:space="0"/>
            </w:tcBorders>
            <w:noWrap/>
            <w:vAlign w:val="bottom"/>
          </w:tcPr>
          <w:p w14:paraId="53AF9CD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4AD9F289">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66B838A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CEDES光电NC</w:t>
            </w:r>
          </w:p>
        </w:tc>
        <w:tc>
          <w:tcPr>
            <w:tcW w:w="1635" w:type="dxa"/>
            <w:tcBorders>
              <w:top w:val="nil"/>
              <w:left w:val="nil"/>
              <w:bottom w:val="single" w:color="auto" w:sz="4" w:space="0"/>
              <w:right w:val="single" w:color="auto" w:sz="4" w:space="0"/>
            </w:tcBorders>
            <w:noWrap/>
            <w:vAlign w:val="center"/>
          </w:tcPr>
          <w:p w14:paraId="6F84CC6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000000" w:sz="4" w:space="0"/>
            </w:tcBorders>
            <w:noWrap/>
            <w:vAlign w:val="bottom"/>
          </w:tcPr>
          <w:p w14:paraId="72034DC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3个工作日</w:t>
            </w:r>
          </w:p>
        </w:tc>
        <w:tc>
          <w:tcPr>
            <w:tcW w:w="2031" w:type="dxa"/>
            <w:tcBorders>
              <w:top w:val="nil"/>
              <w:left w:val="nil"/>
              <w:bottom w:val="single" w:color="auto" w:sz="4" w:space="0"/>
              <w:right w:val="single" w:color="auto" w:sz="4" w:space="0"/>
            </w:tcBorders>
            <w:noWrap/>
            <w:vAlign w:val="bottom"/>
          </w:tcPr>
          <w:p w14:paraId="2CFB0F5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1D818E60">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2CD54DC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国产富士接触器 SC-E05A</w:t>
            </w:r>
          </w:p>
        </w:tc>
        <w:tc>
          <w:tcPr>
            <w:tcW w:w="1635" w:type="dxa"/>
            <w:tcBorders>
              <w:top w:val="nil"/>
              <w:left w:val="nil"/>
              <w:bottom w:val="single" w:color="auto" w:sz="4" w:space="0"/>
              <w:right w:val="single" w:color="auto" w:sz="4" w:space="0"/>
            </w:tcBorders>
            <w:noWrap/>
            <w:vAlign w:val="center"/>
          </w:tcPr>
          <w:p w14:paraId="2D67D2E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auto" w:sz="4" w:space="0"/>
            </w:tcBorders>
            <w:noWrap/>
            <w:vAlign w:val="bottom"/>
          </w:tcPr>
          <w:p w14:paraId="44885D8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3个工作日</w:t>
            </w:r>
          </w:p>
        </w:tc>
        <w:tc>
          <w:tcPr>
            <w:tcW w:w="2031" w:type="dxa"/>
            <w:tcBorders>
              <w:top w:val="nil"/>
              <w:left w:val="nil"/>
              <w:bottom w:val="single" w:color="auto" w:sz="4" w:space="0"/>
              <w:right w:val="single" w:color="auto" w:sz="4" w:space="0"/>
            </w:tcBorders>
            <w:noWrap/>
            <w:vAlign w:val="bottom"/>
          </w:tcPr>
          <w:p w14:paraId="6C92F67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2A139854">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5EFDEB1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SC-03 继电器</w:t>
            </w:r>
          </w:p>
        </w:tc>
        <w:tc>
          <w:tcPr>
            <w:tcW w:w="1635" w:type="dxa"/>
            <w:tcBorders>
              <w:top w:val="nil"/>
              <w:left w:val="nil"/>
              <w:bottom w:val="single" w:color="auto" w:sz="4" w:space="0"/>
              <w:right w:val="single" w:color="auto" w:sz="4" w:space="0"/>
            </w:tcBorders>
            <w:noWrap/>
            <w:vAlign w:val="center"/>
          </w:tcPr>
          <w:p w14:paraId="7407B74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000000" w:sz="4" w:space="0"/>
            </w:tcBorders>
            <w:noWrap/>
            <w:vAlign w:val="bottom"/>
          </w:tcPr>
          <w:p w14:paraId="72962FE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3个工作日</w:t>
            </w:r>
          </w:p>
        </w:tc>
        <w:tc>
          <w:tcPr>
            <w:tcW w:w="2031" w:type="dxa"/>
            <w:tcBorders>
              <w:top w:val="nil"/>
              <w:left w:val="nil"/>
              <w:bottom w:val="single" w:color="auto" w:sz="4" w:space="0"/>
              <w:right w:val="single" w:color="auto" w:sz="4" w:space="0"/>
            </w:tcBorders>
            <w:noWrap/>
            <w:vAlign w:val="bottom"/>
          </w:tcPr>
          <w:p w14:paraId="0707771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5B96332E">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7931CA5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轿厢轴流风机(小)</w:t>
            </w:r>
          </w:p>
        </w:tc>
        <w:tc>
          <w:tcPr>
            <w:tcW w:w="1635" w:type="dxa"/>
            <w:tcBorders>
              <w:top w:val="nil"/>
              <w:left w:val="nil"/>
              <w:bottom w:val="single" w:color="auto" w:sz="4" w:space="0"/>
              <w:right w:val="single" w:color="auto" w:sz="4" w:space="0"/>
            </w:tcBorders>
            <w:noWrap/>
            <w:vAlign w:val="center"/>
          </w:tcPr>
          <w:p w14:paraId="025E5EC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auto" w:sz="4" w:space="0"/>
            </w:tcBorders>
            <w:noWrap/>
            <w:vAlign w:val="bottom"/>
          </w:tcPr>
          <w:p w14:paraId="41A7DCB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3个工作日</w:t>
            </w:r>
          </w:p>
        </w:tc>
        <w:tc>
          <w:tcPr>
            <w:tcW w:w="2031" w:type="dxa"/>
            <w:tcBorders>
              <w:top w:val="nil"/>
              <w:left w:val="nil"/>
              <w:bottom w:val="single" w:color="auto" w:sz="4" w:space="0"/>
              <w:right w:val="single" w:color="auto" w:sz="4" w:space="0"/>
            </w:tcBorders>
            <w:noWrap/>
            <w:vAlign w:val="bottom"/>
          </w:tcPr>
          <w:p w14:paraId="6819B55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02595C80">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1C7BBB9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Minimax CEDES光幕线</w:t>
            </w:r>
          </w:p>
        </w:tc>
        <w:tc>
          <w:tcPr>
            <w:tcW w:w="1635" w:type="dxa"/>
            <w:tcBorders>
              <w:top w:val="nil"/>
              <w:left w:val="nil"/>
              <w:bottom w:val="single" w:color="auto" w:sz="4" w:space="0"/>
              <w:right w:val="single" w:color="auto" w:sz="4" w:space="0"/>
            </w:tcBorders>
            <w:noWrap/>
            <w:vAlign w:val="center"/>
          </w:tcPr>
          <w:p w14:paraId="3110252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auto" w:sz="4" w:space="0"/>
            </w:tcBorders>
            <w:noWrap/>
            <w:vAlign w:val="bottom"/>
          </w:tcPr>
          <w:p w14:paraId="3704432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3个工作日</w:t>
            </w:r>
          </w:p>
        </w:tc>
        <w:tc>
          <w:tcPr>
            <w:tcW w:w="2031" w:type="dxa"/>
            <w:tcBorders>
              <w:top w:val="nil"/>
              <w:left w:val="nil"/>
              <w:bottom w:val="single" w:color="auto" w:sz="4" w:space="0"/>
              <w:right w:val="single" w:color="auto" w:sz="4" w:space="0"/>
            </w:tcBorders>
            <w:noWrap/>
            <w:vAlign w:val="bottom"/>
          </w:tcPr>
          <w:p w14:paraId="7F44CEB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58FAF3EA">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2D38814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CEDES光幕线(2根/套)</w:t>
            </w:r>
          </w:p>
        </w:tc>
        <w:tc>
          <w:tcPr>
            <w:tcW w:w="1635" w:type="dxa"/>
            <w:tcBorders>
              <w:top w:val="nil"/>
              <w:left w:val="nil"/>
              <w:bottom w:val="single" w:color="auto" w:sz="4" w:space="0"/>
              <w:right w:val="single" w:color="auto" w:sz="4" w:space="0"/>
            </w:tcBorders>
            <w:noWrap/>
            <w:vAlign w:val="center"/>
          </w:tcPr>
          <w:p w14:paraId="34942A1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auto" w:sz="4" w:space="0"/>
            </w:tcBorders>
            <w:noWrap/>
            <w:vAlign w:val="bottom"/>
          </w:tcPr>
          <w:p w14:paraId="02C978C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3个工作日</w:t>
            </w:r>
          </w:p>
        </w:tc>
        <w:tc>
          <w:tcPr>
            <w:tcW w:w="2031" w:type="dxa"/>
            <w:tcBorders>
              <w:top w:val="nil"/>
              <w:left w:val="nil"/>
              <w:bottom w:val="single" w:color="auto" w:sz="4" w:space="0"/>
              <w:right w:val="single" w:color="auto" w:sz="4" w:space="0"/>
            </w:tcBorders>
            <w:noWrap/>
            <w:vAlign w:val="bottom"/>
          </w:tcPr>
          <w:p w14:paraId="13495FD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479AAC45">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1E337AB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机房对讲机电源</w:t>
            </w:r>
          </w:p>
        </w:tc>
        <w:tc>
          <w:tcPr>
            <w:tcW w:w="1635" w:type="dxa"/>
            <w:tcBorders>
              <w:top w:val="nil"/>
              <w:left w:val="nil"/>
              <w:bottom w:val="single" w:color="auto" w:sz="4" w:space="0"/>
              <w:right w:val="single" w:color="auto" w:sz="4" w:space="0"/>
            </w:tcBorders>
            <w:noWrap/>
            <w:vAlign w:val="center"/>
          </w:tcPr>
          <w:p w14:paraId="714EBF2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auto" w:sz="4" w:space="0"/>
            </w:tcBorders>
            <w:noWrap/>
            <w:vAlign w:val="bottom"/>
          </w:tcPr>
          <w:p w14:paraId="7D6C21E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3个工作日</w:t>
            </w:r>
          </w:p>
        </w:tc>
        <w:tc>
          <w:tcPr>
            <w:tcW w:w="2031" w:type="dxa"/>
            <w:tcBorders>
              <w:top w:val="nil"/>
              <w:left w:val="nil"/>
              <w:bottom w:val="single" w:color="auto" w:sz="4" w:space="0"/>
              <w:right w:val="single" w:color="auto" w:sz="4" w:space="0"/>
            </w:tcBorders>
            <w:noWrap/>
            <w:vAlign w:val="bottom"/>
          </w:tcPr>
          <w:p w14:paraId="5786E7D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0F51795D">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1D506E6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厅门偏心</w:t>
            </w:r>
            <w:r>
              <w:rPr>
                <w:rFonts w:hint="eastAsia" w:asciiTheme="minorEastAsia" w:hAnsiTheme="minorEastAsia" w:eastAsiaTheme="minorEastAsia" w:cstheme="minorEastAsia"/>
                <w:b w:val="0"/>
                <w:bCs w:val="0"/>
                <w:sz w:val="24"/>
                <w:szCs w:val="24"/>
                <w:highlight w:val="none"/>
                <w:u w:val="none"/>
              </w:rPr>
              <w:t>轮</w:t>
            </w:r>
          </w:p>
        </w:tc>
        <w:tc>
          <w:tcPr>
            <w:tcW w:w="1635" w:type="dxa"/>
            <w:tcBorders>
              <w:top w:val="nil"/>
              <w:left w:val="nil"/>
              <w:bottom w:val="single" w:color="auto" w:sz="4" w:space="0"/>
              <w:right w:val="single" w:color="auto" w:sz="4" w:space="0"/>
            </w:tcBorders>
            <w:noWrap/>
            <w:vAlign w:val="center"/>
          </w:tcPr>
          <w:p w14:paraId="2453769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auto" w:sz="4" w:space="0"/>
            </w:tcBorders>
            <w:noWrap/>
            <w:vAlign w:val="bottom"/>
          </w:tcPr>
          <w:p w14:paraId="35830FE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3个工作日</w:t>
            </w:r>
          </w:p>
        </w:tc>
        <w:tc>
          <w:tcPr>
            <w:tcW w:w="2031" w:type="dxa"/>
            <w:tcBorders>
              <w:top w:val="nil"/>
              <w:left w:val="nil"/>
              <w:bottom w:val="single" w:color="auto" w:sz="4" w:space="0"/>
              <w:right w:val="single" w:color="auto" w:sz="4" w:space="0"/>
            </w:tcBorders>
            <w:noWrap/>
            <w:vAlign w:val="bottom"/>
          </w:tcPr>
          <w:p w14:paraId="0C669DB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1963E39A">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5F2D434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端部回转链</w:t>
            </w:r>
          </w:p>
        </w:tc>
        <w:tc>
          <w:tcPr>
            <w:tcW w:w="1635" w:type="dxa"/>
            <w:tcBorders>
              <w:top w:val="nil"/>
              <w:left w:val="nil"/>
              <w:bottom w:val="single" w:color="auto" w:sz="4" w:space="0"/>
              <w:right w:val="single" w:color="auto" w:sz="4" w:space="0"/>
            </w:tcBorders>
            <w:noWrap/>
            <w:vAlign w:val="center"/>
          </w:tcPr>
          <w:p w14:paraId="4C9ADAC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auto" w:sz="4" w:space="0"/>
            </w:tcBorders>
            <w:noWrap/>
            <w:vAlign w:val="bottom"/>
          </w:tcPr>
          <w:p w14:paraId="3313B14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3个工作日</w:t>
            </w:r>
          </w:p>
        </w:tc>
        <w:tc>
          <w:tcPr>
            <w:tcW w:w="2031" w:type="dxa"/>
            <w:tcBorders>
              <w:top w:val="nil"/>
              <w:left w:val="nil"/>
              <w:bottom w:val="single" w:color="auto" w:sz="4" w:space="0"/>
              <w:right w:val="single" w:color="auto" w:sz="4" w:space="0"/>
            </w:tcBorders>
            <w:noWrap/>
            <w:vAlign w:val="bottom"/>
          </w:tcPr>
          <w:p w14:paraId="6066E33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635F48C2">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4D5F7D0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摩擦轮</w:t>
            </w:r>
          </w:p>
        </w:tc>
        <w:tc>
          <w:tcPr>
            <w:tcW w:w="1635" w:type="dxa"/>
            <w:tcBorders>
              <w:top w:val="nil"/>
              <w:left w:val="nil"/>
              <w:bottom w:val="single" w:color="auto" w:sz="4" w:space="0"/>
              <w:right w:val="single" w:color="auto" w:sz="4" w:space="0"/>
            </w:tcBorders>
            <w:noWrap/>
            <w:vAlign w:val="center"/>
          </w:tcPr>
          <w:p w14:paraId="6BD9A7D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auto" w:sz="4" w:space="0"/>
            </w:tcBorders>
            <w:noWrap/>
            <w:vAlign w:val="bottom"/>
          </w:tcPr>
          <w:p w14:paraId="0A8CDF7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3个工作日</w:t>
            </w:r>
          </w:p>
        </w:tc>
        <w:tc>
          <w:tcPr>
            <w:tcW w:w="2031" w:type="dxa"/>
            <w:tcBorders>
              <w:top w:val="nil"/>
              <w:left w:val="nil"/>
              <w:bottom w:val="single" w:color="auto" w:sz="4" w:space="0"/>
              <w:right w:val="single" w:color="auto" w:sz="4" w:space="0"/>
            </w:tcBorders>
            <w:noWrap/>
            <w:vAlign w:val="bottom"/>
          </w:tcPr>
          <w:p w14:paraId="16690BE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1D169E21">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48F68BD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错相继电器</w:t>
            </w:r>
          </w:p>
        </w:tc>
        <w:tc>
          <w:tcPr>
            <w:tcW w:w="1635" w:type="dxa"/>
            <w:tcBorders>
              <w:top w:val="nil"/>
              <w:left w:val="nil"/>
              <w:bottom w:val="single" w:color="auto" w:sz="4" w:space="0"/>
              <w:right w:val="single" w:color="auto" w:sz="4" w:space="0"/>
            </w:tcBorders>
            <w:noWrap/>
            <w:vAlign w:val="center"/>
          </w:tcPr>
          <w:p w14:paraId="1854FF9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auto" w:sz="4" w:space="0"/>
            </w:tcBorders>
            <w:noWrap/>
            <w:vAlign w:val="bottom"/>
          </w:tcPr>
          <w:p w14:paraId="56A7665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3个工作日</w:t>
            </w:r>
          </w:p>
        </w:tc>
        <w:tc>
          <w:tcPr>
            <w:tcW w:w="2031" w:type="dxa"/>
            <w:tcBorders>
              <w:top w:val="nil"/>
              <w:left w:val="nil"/>
              <w:bottom w:val="single" w:color="auto" w:sz="4" w:space="0"/>
              <w:right w:val="single" w:color="auto" w:sz="4" w:space="0"/>
            </w:tcBorders>
            <w:noWrap/>
            <w:vAlign w:val="bottom"/>
          </w:tcPr>
          <w:p w14:paraId="3210A1B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593AE49F">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6FDDC38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富士接触器</w:t>
            </w:r>
          </w:p>
        </w:tc>
        <w:tc>
          <w:tcPr>
            <w:tcW w:w="1635" w:type="dxa"/>
            <w:tcBorders>
              <w:top w:val="nil"/>
              <w:left w:val="nil"/>
              <w:bottom w:val="single" w:color="auto" w:sz="4" w:space="0"/>
              <w:right w:val="single" w:color="auto" w:sz="4" w:space="0"/>
            </w:tcBorders>
            <w:noWrap/>
            <w:vAlign w:val="center"/>
          </w:tcPr>
          <w:p w14:paraId="35D4197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auto" w:sz="4" w:space="0"/>
            </w:tcBorders>
            <w:noWrap/>
            <w:vAlign w:val="bottom"/>
          </w:tcPr>
          <w:p w14:paraId="7C1AEFA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3个工作日</w:t>
            </w:r>
          </w:p>
        </w:tc>
        <w:tc>
          <w:tcPr>
            <w:tcW w:w="2031" w:type="dxa"/>
            <w:tcBorders>
              <w:top w:val="nil"/>
              <w:left w:val="nil"/>
              <w:bottom w:val="single" w:color="auto" w:sz="4" w:space="0"/>
              <w:right w:val="single" w:color="auto" w:sz="4" w:space="0"/>
            </w:tcBorders>
            <w:noWrap/>
            <w:vAlign w:val="bottom"/>
          </w:tcPr>
          <w:p w14:paraId="1A5B939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14DD7974">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422D1AD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导靴</w:t>
            </w:r>
          </w:p>
        </w:tc>
        <w:tc>
          <w:tcPr>
            <w:tcW w:w="1635" w:type="dxa"/>
            <w:tcBorders>
              <w:top w:val="nil"/>
              <w:left w:val="nil"/>
              <w:bottom w:val="single" w:color="auto" w:sz="4" w:space="0"/>
              <w:right w:val="single" w:color="auto" w:sz="4" w:space="0"/>
            </w:tcBorders>
            <w:noWrap/>
            <w:vAlign w:val="center"/>
          </w:tcPr>
          <w:p w14:paraId="4603D86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auto" w:sz="4" w:space="0"/>
            </w:tcBorders>
            <w:noWrap/>
            <w:vAlign w:val="bottom"/>
          </w:tcPr>
          <w:p w14:paraId="069EB6F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3个工作日</w:t>
            </w:r>
          </w:p>
        </w:tc>
        <w:tc>
          <w:tcPr>
            <w:tcW w:w="2031" w:type="dxa"/>
            <w:tcBorders>
              <w:top w:val="nil"/>
              <w:left w:val="nil"/>
              <w:bottom w:val="single" w:color="auto" w:sz="4" w:space="0"/>
              <w:right w:val="single" w:color="auto" w:sz="4" w:space="0"/>
            </w:tcBorders>
            <w:noWrap/>
            <w:vAlign w:val="bottom"/>
          </w:tcPr>
          <w:p w14:paraId="386DC35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2C6BCEF9">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73D2091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（需提供参数）对重护栏</w:t>
            </w:r>
          </w:p>
        </w:tc>
        <w:tc>
          <w:tcPr>
            <w:tcW w:w="1635" w:type="dxa"/>
            <w:tcBorders>
              <w:top w:val="nil"/>
              <w:left w:val="nil"/>
              <w:bottom w:val="single" w:color="auto" w:sz="4" w:space="0"/>
              <w:right w:val="single" w:color="auto" w:sz="4" w:space="0"/>
            </w:tcBorders>
            <w:noWrap/>
            <w:vAlign w:val="center"/>
          </w:tcPr>
          <w:p w14:paraId="72ACE22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auto" w:sz="4" w:space="0"/>
            </w:tcBorders>
            <w:noWrap/>
            <w:vAlign w:val="bottom"/>
          </w:tcPr>
          <w:p w14:paraId="21E72B2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3个工作日</w:t>
            </w:r>
          </w:p>
        </w:tc>
        <w:tc>
          <w:tcPr>
            <w:tcW w:w="2031" w:type="dxa"/>
            <w:tcBorders>
              <w:top w:val="nil"/>
              <w:left w:val="nil"/>
              <w:bottom w:val="single" w:color="auto" w:sz="4" w:space="0"/>
              <w:right w:val="single" w:color="auto" w:sz="4" w:space="0"/>
            </w:tcBorders>
            <w:noWrap/>
            <w:vAlign w:val="bottom"/>
          </w:tcPr>
          <w:p w14:paraId="054952E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eastAsia="zh-CN"/>
              </w:rPr>
              <w:t>三个月</w:t>
            </w:r>
          </w:p>
        </w:tc>
      </w:tr>
    </w:tbl>
    <w:p w14:paraId="64A8179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500元以上配件清单</w:t>
      </w:r>
    </w:p>
    <w:p w14:paraId="150567C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p>
    <w:tbl>
      <w:tblPr>
        <w:tblStyle w:val="19"/>
        <w:tblW w:w="113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6"/>
        <w:gridCol w:w="3530"/>
        <w:gridCol w:w="861"/>
        <w:gridCol w:w="1716"/>
        <w:gridCol w:w="1435"/>
        <w:gridCol w:w="1476"/>
        <w:gridCol w:w="1233"/>
      </w:tblGrid>
      <w:tr w14:paraId="434B7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0F770D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序号</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22899B8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配件名称</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2A09655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单位</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385BC5F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单价限价（元）</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05964F2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报价（元）</w:t>
            </w: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18A07B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发货周期</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CB5093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质保期</w:t>
            </w:r>
          </w:p>
        </w:tc>
      </w:tr>
      <w:tr w14:paraId="2AB11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00DFAF6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0EE962E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变频器MCA日立</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65DCB1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06AB343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18600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E0F1AE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52C8D2B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318A9C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58747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03A657E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2254EA1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西威变频器SIEI/AVY4220-EBLM1-C</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27F7A3E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2482403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12500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62DFA0C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66878B9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CCE3B7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56849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BEDE61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07EF62F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标准制动器 DZD1-653 DC110V</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24AD6B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3775816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4200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125F4E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771AA56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5937B4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3D71F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3A288D7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3F6BBCF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五只小键盘</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27E6891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6BA7430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770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D4E862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270FD74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8A95D4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040A5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13509B9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11E6C5B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变频器扩展卡-EXP-E</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7FBDBA2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F41D66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875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4B7C866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3DB2A7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C5AFBD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1C54B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0EBE47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8BD36B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群控柜</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405CA0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44FFF1D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19600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4F2861A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D2C95D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7D7379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5BBEA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2C9F77F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3F4225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梯控装置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2057301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3641A22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5561</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49AB19B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7D8923A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AA7B47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31E71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168AFAE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8</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DA5526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限速器（一台）</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7E59FB6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42F2FFE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4360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634086D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A60377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6E7EEB6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134A0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2A8FEF6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9</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2B4AC40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变压器电源板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DC35C3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3BB4D8E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1785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9AA2FB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1B9CA69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0D9FDCE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23008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46BC2B3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10</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E366C8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控制变压器</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097B0DC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E31C49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7200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8BD322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7819092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BB1750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057FF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1167F23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11</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0B1358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LCB2线路板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4565E56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016E6DB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1875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055A7A8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3EE0CC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BB6D6E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06D3F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2176BE8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12</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917312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SCLB3板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7D496F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5059CCE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3200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3E5CA93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8ECB88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562246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6EFFD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333191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13</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F06DC5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BX-SCL-C5板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1110A4E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5FC2747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1592</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6D9F399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2A128A3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6037031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143E3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3E5FEE4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14</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1DBEE4A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DSC-3A</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51F284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455AF00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2625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36002C3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2F6D9C2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654F8E9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39151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354F314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15</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5F605C4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MPU电子版</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23B904A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5918F98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7959</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0F13EF1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574A9F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979B16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13C27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52F7575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16</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785264A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CAIO板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4B5650A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450346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4168</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505BF7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6210FB5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A78313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124FA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1D00422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17</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1763703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电子板DP03A04</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568B51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3FD6F6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780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69FBBA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CF20E6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14A24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6946F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5F3AA8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18</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29D4C72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电子板DP04A02</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495342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4AD2F9F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1040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2CCA45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6DF4CE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650E0F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2CF2B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3E41E04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19</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052C43A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光电位置检测器</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F3B555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12FAF8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2919</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CD873F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22B40E7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A3EB77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4A4D9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399D1ED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20</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39B897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无机房松闸电源装置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4C68F1F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5CC0722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4743</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8ECB8C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2403884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AB54A8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342CC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428788D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21</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03F0F6E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曳引机编码器</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E9E8B5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3493492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4200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E18894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7122C66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30个工作日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24E81C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7B172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9F233F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22</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282E661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AVR开关电源</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4DB64D0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8A8B1C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2450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6B7AA9E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D8B38E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0E31A1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6B3E8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077FF90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23</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35014BA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控制柜插接件电路板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45762F2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6B465B1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4250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DD5E3D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6081CC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0991C2A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15814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0210BAB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24</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3A4A47D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制动器组件</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239F720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3063DC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800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098B6DE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7854C97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87F659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71C67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4A0A00D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25</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508D3D0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MAX 154 CEDES有源光幕</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7A7352C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03F8808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3800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081AE36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6C8DABE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43BF77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6BF50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4FB5579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26</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2566C3F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二合一安全触板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264E039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4B8B12E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4200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F29B27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5491E8E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62F690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6B8DC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AF0FBB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27</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1336DCF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轿顶通讯板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088B590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B960A4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3498</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B4721B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353396B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1FFC61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15F74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01C1EB3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28</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71004C3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轿顶检修装置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4E4D04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326930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1173</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A4BC28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20F67DD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6495D2F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4A6FF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3DC37E5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29</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077DE8F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门机控制器</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1B4D787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03FB8E2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4200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4FE9A6E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584C313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A1F7BA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77C72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C04CAA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30</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78836EF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轿顶电源开关（HAA2132A）</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E49B06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D47E73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613</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83DEBB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1532136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B6BA23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4DDB3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3331AAD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31</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757CF77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轿门门电机</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1D0AFFC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677584A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2458</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A88587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35C28B8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0E15A91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33B4C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1F917B6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32</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570A01D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轿门门电机编码器</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46273B1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4B598B9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3600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8892E5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5FD0494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89B2B9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4B34B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5D6BC82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33</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C8F380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外招液晶显示板（日立）</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0C21A8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21CD0D1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1260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6671DB0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3BF1582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204851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55D43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36CB81A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34</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33E9EC9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液晶显示器（中文蓝色）</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E80D39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6472016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855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219222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0AEBA0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0B48159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3FC40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160C120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35</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7DD2AA0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快速显示板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90E102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6049D0F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540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49C7E42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52494FE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6DC195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652C0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81FCBC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36</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BAF1FC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扩展板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156035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52FEE3A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1370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5F612C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362B83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6EC37F9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53FD1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E7A299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37</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5255EFE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通讯板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FFEB3B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16010B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2660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E43433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270F273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46B94C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7ED5A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2DBF008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38</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1F77095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平层感应器（个）</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822120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6DB7946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865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DF6F27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5FD6F46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9709E2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42AA1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047A3FC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39</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28EB019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平层感应器隔板（一套）</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74BAA2A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2BC6E9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628</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A0FD7E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58A281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F32A1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4CFA2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4518657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40</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016B33F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限速器钢丝绳Φ8mm</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AED5C9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米</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0143EBE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C85411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28C2BD1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38B820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72F8C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32F42D7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41</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1DCE93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曳引钢丝绳8X19S-Φ10(带预拉伸、麻芯)</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384F77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米</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DCA64A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6578BA8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1348B02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98C318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48EC4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14B99B4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42</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1C62E10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轿门门板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2177884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CCDDBE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3920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98D915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AA3A05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AACE02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6C70A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2064B4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43</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F17DF0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厅门门板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A28A08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032CBEE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4200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AC5332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16C94CD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4DCCDE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37510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4FA1BC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44</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73D490C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6.4英寸 STN-LCD显示器（通用AD33）</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0BF83A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AB3F1D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520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4CBBD8F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7D18DDB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097DDB0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69977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DCB45D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45</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3EE40E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外招显示盒带板子（一套）</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7A14BA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4898818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2325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40C5EA6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2FC7413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7A37C0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308DE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376998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46</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7925AE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轿厢地坎</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636932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2BA5F02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1200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0197A10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203518D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087216A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1A7B7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0DEA4C3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47</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72E4844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厅门地坎</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0CA1763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B8B5C6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1600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0F4D25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53F0977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7BBD25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7E65E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4C38A27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48</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7B4F64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右开轿厢地坎OP=1300</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66B818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200A35A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0C86CBC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9CCDF2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69F035D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5A181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F76DE9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49</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5104DB1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右开铸铁厅门地坎XAA426M7</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757FC95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1A915C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1500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3F3D324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C6E5F4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226EE2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5DC09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D27A2F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50</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560F0CF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扁形补偿链</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77E0471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米</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1C8CE3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49</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7D3B43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1C4CA34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23B4FD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492EE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2FFE5B7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51</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7202378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对重绳轮组件</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137E973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64051D1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2250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01F38E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5895068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300CA1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04F41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251BD10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52</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D43304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对重反绳轮（个）</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4AB247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CCD845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2400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0CA36F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6C16C6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E81796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2FFFD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0F64AD7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53</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3021BCF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旁路声光报警装置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056D9A6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65CE4D4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642</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138A83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3073EA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E74A74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74BFA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45EF4A0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54</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0D4B288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地坑涨紧轮（一套）</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456503E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34A4176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2321</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21F8A5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0196AC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C08723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59EE7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80AA92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55</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163637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地坑检修盒</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7DF6BEB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0CD8BCF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963</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046C64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595DBF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F92C34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2427D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02B7B6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56</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271F7AD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轿厢护脚板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D68E15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5DF1086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635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186D66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2B84A2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7BE89E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4DCEE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64A768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57</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3CA7362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液压缓冲器</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2972A7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25D7FED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2283</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DD2D7A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71D1610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014B10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63BCC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2B18CD1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58</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31F4623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聚氨酯缓冲器</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7EC3548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A6DEE1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607</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FD17A3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2981C75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08BEB90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41307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383B3D5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59</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131FE88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对重块</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3CA4CE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460B6FD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市场钢材价</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4D837D8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7DD1BE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52E8CE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75E5C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21CC5EF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60</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7956E74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对重护栏（一台）</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16B24B5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04ED845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3150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25DBC1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14EC69B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229332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25CF3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D0890A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61</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2A8EF5A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补偿链导向装置（一套4个轮）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64BD51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977487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084A4D9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184C898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3AA7B7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25BEB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1642814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62</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1D30654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2.4m底坑爬梯</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C1EB9D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F6E13D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817</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4D3BC7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3449C9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A9B2FB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2F0E5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B965B7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63</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51E4182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五方对讲主机</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45043D3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0ED3CD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3300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4C2E18F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54651C1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EAD870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23F0B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4018012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64</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27AAA3D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五方对讲轿顶板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1765F3C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57BDC29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3115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6AC7F7C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FADE49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60A795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667CE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132D2A9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65</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64E22E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五方对讲主机后备电源</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DAED72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0441111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589</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6B19157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76F8394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2FCA4E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0C154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5B1A416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66</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FF98A1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扶梯主驱动板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087E487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D06E4C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10500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3AAA1A7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2E7621A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668ECA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2120E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1346347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67</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27C5EA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插件板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1E62EFF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734508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4150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0DD7AB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6970BC6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D9912B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6AA13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3B9DD5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68</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5699637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梯级辅轮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00A5FCA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6535860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3314BDC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B12408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C71AE8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6CE2E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575E245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69</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04671D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防攀爬装置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718410A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619E1C6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610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E4A4E5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6FC9AC0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698EFBD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744F1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16916A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70</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716C35C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不锈钢梯级</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1E1AA81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8090F1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1135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9281B1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2587522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72788E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65987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5BDFCF6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71</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056D52D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扶手带</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05FDCAD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米</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DF36F2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125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301FE6D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39477BF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A9D180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17DCE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3C8B391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72</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606C0E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扶手带托轮组件</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45B0F20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061B41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935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661E1FF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11CA57A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947E37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22913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37FDEB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73</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1A7715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主驱动链</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053597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6A2C66C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3255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CDC4A7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660D1A4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B45FDB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27FC4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8B8D60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74</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4B06EC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扶手带驱动链</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19C01A2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6CCC849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2350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4F23B0F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6FF9C3E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4B88C4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4A1EA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3CBDBF9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75</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260015D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梯级缺失感应装置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7A7070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6A68EE7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560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3B2CC42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369EEA8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B7FFE9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368DA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46C128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76</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5901F16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扶手带测速装置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A896E0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5CB8377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1610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0E191D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C9C726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209CF3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0ABF3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3159874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77</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5705CDB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摩擦轮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967DB3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3D0F282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1260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65C4038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7B13880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3C56D1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464AB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4A23ED2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78</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2BA79D4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短节距传动用精密滚子链和链轮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06D65A5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按23节</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00B98BD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1794</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14:paraId="6D9E615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3185012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5A7B0C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5B260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E206E8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79</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230683F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踏板XAA280Q9</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215D7C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45B90FA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1600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0906205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2D8DCC6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0EC173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52055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D91A01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80</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0832D83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自动加油装置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619F98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379F0C5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3350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3E033C4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74522DB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E6F1A8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bl>
    <w:p w14:paraId="2B18A60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eastAsia="zh-CN"/>
        </w:rPr>
        <w:t>注：配件价格含人工费、运费、税金、利润等。</w:t>
      </w:r>
    </w:p>
    <w:p w14:paraId="11437D53">
      <w:pPr>
        <w:rPr>
          <w:rFonts w:hint="eastAsia"/>
        </w:rPr>
      </w:pPr>
    </w:p>
    <w:p w14:paraId="6AA2E35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eastAsia="zh-CN"/>
        </w:rPr>
      </w:pPr>
    </w:p>
    <w:p w14:paraId="421DE49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bCs/>
          <w:sz w:val="24"/>
          <w:szCs w:val="24"/>
          <w:highlight w:val="none"/>
          <w:u w:val="none"/>
          <w:lang w:val="en-US" w:eastAsia="zh-CN"/>
        </w:rPr>
        <w:t>二、商务条款</w:t>
      </w:r>
      <w:r>
        <w:rPr>
          <w:rFonts w:hint="eastAsia" w:asciiTheme="minorEastAsia" w:hAnsiTheme="minorEastAsia" w:eastAsiaTheme="minorEastAsia" w:cstheme="minorEastAsia"/>
          <w:b/>
          <w:bCs/>
          <w:sz w:val="24"/>
          <w:szCs w:val="24"/>
          <w:highlight w:val="none"/>
          <w:u w:val="single"/>
          <w:lang w:val="en-US" w:eastAsia="zh-CN"/>
        </w:rPr>
        <w:t>（根据此项内容填写《商务条款响应偏离表》，要求逐条响应）</w:t>
      </w:r>
    </w:p>
    <w:p w14:paraId="4C6BE42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eastAsia="zh-CN"/>
        </w:rPr>
        <w:t>（</w:t>
      </w:r>
      <w:r>
        <w:rPr>
          <w:rFonts w:hint="eastAsia" w:asciiTheme="minorEastAsia" w:hAnsiTheme="minorEastAsia" w:eastAsiaTheme="minorEastAsia" w:cstheme="minorEastAsia"/>
          <w:b w:val="0"/>
          <w:bCs w:val="0"/>
          <w:sz w:val="24"/>
          <w:szCs w:val="24"/>
          <w:highlight w:val="none"/>
          <w:u w:val="none"/>
          <w:lang w:val="en-US" w:eastAsia="zh-CN"/>
        </w:rPr>
        <w:t>一</w:t>
      </w:r>
      <w:r>
        <w:rPr>
          <w:rFonts w:hint="eastAsia" w:asciiTheme="minorEastAsia" w:hAnsiTheme="minorEastAsia" w:eastAsiaTheme="minorEastAsia" w:cstheme="minorEastAsia"/>
          <w:b w:val="0"/>
          <w:bCs w:val="0"/>
          <w:sz w:val="24"/>
          <w:szCs w:val="24"/>
          <w:highlight w:val="none"/>
          <w:u w:val="none"/>
          <w:lang w:eastAsia="zh-CN"/>
        </w:rPr>
        <w:t>）</w:t>
      </w:r>
      <w:r>
        <w:rPr>
          <w:rFonts w:hint="eastAsia" w:asciiTheme="minorEastAsia" w:hAnsiTheme="minorEastAsia" w:eastAsiaTheme="minorEastAsia" w:cstheme="minorEastAsia"/>
          <w:b w:val="0"/>
          <w:bCs w:val="0"/>
          <w:sz w:val="24"/>
          <w:szCs w:val="24"/>
          <w:highlight w:val="none"/>
          <w:u w:val="none"/>
        </w:rPr>
        <w:t>付款方式</w:t>
      </w:r>
    </w:p>
    <w:p w14:paraId="3F72B99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日常维护保养期满六个月后，采购单位收到中标人发票后按财务流程支付合同总价的50%，特种设备检验机构定期检验合格且经甲方考核后，采购单位收到中标人发票后支付剩余的合同总价的50%。但中标单位应于付款前提供足额合规的发票，否则采购单位有权相应顺延付款而无需承担逾期付款责任。</w:t>
      </w:r>
    </w:p>
    <w:p w14:paraId="78A34F5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2、如合同保养时限超过一年的，将保养费总计金额折算为年保养费金额后，按本条1款规定支付。</w:t>
      </w:r>
    </w:p>
    <w:p w14:paraId="315297A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eastAsia="zh-CN"/>
        </w:rPr>
        <w:t>（</w:t>
      </w:r>
      <w:r>
        <w:rPr>
          <w:rFonts w:hint="eastAsia" w:asciiTheme="minorEastAsia" w:hAnsiTheme="minorEastAsia" w:eastAsiaTheme="minorEastAsia" w:cstheme="minorEastAsia"/>
          <w:b w:val="0"/>
          <w:bCs w:val="0"/>
          <w:sz w:val="24"/>
          <w:szCs w:val="24"/>
          <w:highlight w:val="none"/>
          <w:u w:val="none"/>
          <w:lang w:val="en-US" w:eastAsia="zh-CN"/>
        </w:rPr>
        <w:t>二</w:t>
      </w:r>
      <w:r>
        <w:rPr>
          <w:rFonts w:hint="eastAsia" w:asciiTheme="minorEastAsia" w:hAnsiTheme="minorEastAsia" w:eastAsiaTheme="minorEastAsia" w:cstheme="minorEastAsia"/>
          <w:b w:val="0"/>
          <w:bCs w:val="0"/>
          <w:sz w:val="24"/>
          <w:szCs w:val="24"/>
          <w:highlight w:val="none"/>
          <w:u w:val="none"/>
          <w:lang w:eastAsia="zh-CN"/>
        </w:rPr>
        <w:t>）</w:t>
      </w:r>
      <w:r>
        <w:rPr>
          <w:rFonts w:hint="eastAsia" w:asciiTheme="minorEastAsia" w:hAnsiTheme="minorEastAsia" w:eastAsiaTheme="minorEastAsia" w:cstheme="minorEastAsia"/>
          <w:b w:val="0"/>
          <w:bCs w:val="0"/>
          <w:sz w:val="24"/>
          <w:szCs w:val="24"/>
          <w:highlight w:val="none"/>
          <w:u w:val="none"/>
        </w:rPr>
        <w:t>维保服务期限</w:t>
      </w:r>
      <w:r>
        <w:rPr>
          <w:rFonts w:hint="eastAsia" w:asciiTheme="minorEastAsia" w:hAnsiTheme="minorEastAsia" w:eastAsiaTheme="minorEastAsia" w:cstheme="minorEastAsia"/>
          <w:b w:val="0"/>
          <w:bCs w:val="0"/>
          <w:sz w:val="24"/>
          <w:szCs w:val="24"/>
          <w:highlight w:val="none"/>
          <w:u w:val="none"/>
          <w:lang w:eastAsia="zh-CN"/>
        </w:rPr>
        <w:t>：</w:t>
      </w:r>
      <w:r>
        <w:rPr>
          <w:rFonts w:hint="eastAsia" w:asciiTheme="minorEastAsia" w:hAnsiTheme="minorEastAsia" w:eastAsiaTheme="minorEastAsia" w:cstheme="minorEastAsia"/>
          <w:b w:val="0"/>
          <w:bCs w:val="0"/>
          <w:sz w:val="24"/>
          <w:szCs w:val="24"/>
          <w:highlight w:val="none"/>
          <w:u w:val="none"/>
          <w:lang w:val="en-US" w:eastAsia="zh-CN"/>
        </w:rPr>
        <w:t>一招三年，合同一年一签</w:t>
      </w:r>
      <w:r>
        <w:rPr>
          <w:rFonts w:hint="eastAsia" w:asciiTheme="minorEastAsia" w:hAnsiTheme="minorEastAsia" w:eastAsiaTheme="minorEastAsia" w:cstheme="minorEastAsia"/>
          <w:b w:val="0"/>
          <w:bCs w:val="0"/>
          <w:sz w:val="24"/>
          <w:szCs w:val="24"/>
          <w:highlight w:val="none"/>
          <w:u w:val="none"/>
          <w:lang w:eastAsia="zh-CN"/>
        </w:rPr>
        <w:t>。</w:t>
      </w:r>
    </w:p>
    <w:p w14:paraId="7049F7F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eastAsia="zh-CN"/>
        </w:rPr>
        <w:t>（</w:t>
      </w:r>
      <w:r>
        <w:rPr>
          <w:rFonts w:hint="eastAsia" w:asciiTheme="minorEastAsia" w:hAnsiTheme="minorEastAsia" w:eastAsiaTheme="minorEastAsia" w:cstheme="minorEastAsia"/>
          <w:b w:val="0"/>
          <w:bCs w:val="0"/>
          <w:sz w:val="24"/>
          <w:szCs w:val="24"/>
          <w:highlight w:val="none"/>
          <w:u w:val="none"/>
          <w:lang w:val="en-US" w:eastAsia="zh-CN"/>
        </w:rPr>
        <w:t>三</w:t>
      </w:r>
      <w:r>
        <w:rPr>
          <w:rFonts w:hint="eastAsia" w:asciiTheme="minorEastAsia" w:hAnsiTheme="minorEastAsia" w:eastAsiaTheme="minorEastAsia" w:cstheme="minorEastAsia"/>
          <w:b w:val="0"/>
          <w:bCs w:val="0"/>
          <w:sz w:val="24"/>
          <w:szCs w:val="24"/>
          <w:highlight w:val="none"/>
          <w:u w:val="none"/>
          <w:lang w:eastAsia="zh-CN"/>
        </w:rPr>
        <w:t>）</w:t>
      </w:r>
      <w:r>
        <w:rPr>
          <w:rFonts w:hint="eastAsia" w:asciiTheme="minorEastAsia" w:hAnsiTheme="minorEastAsia" w:eastAsiaTheme="minorEastAsia" w:cstheme="minorEastAsia"/>
          <w:b w:val="0"/>
          <w:bCs w:val="0"/>
          <w:sz w:val="24"/>
          <w:szCs w:val="24"/>
          <w:highlight w:val="none"/>
          <w:u w:val="none"/>
          <w:lang w:val="en-US" w:eastAsia="zh-CN"/>
        </w:rPr>
        <w:t>违约责任</w:t>
      </w:r>
    </w:p>
    <w:p w14:paraId="1A1B474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1、乙方</w:t>
      </w:r>
      <w:r>
        <w:rPr>
          <w:rFonts w:hint="eastAsia" w:asciiTheme="minorEastAsia" w:hAnsiTheme="minorEastAsia" w:eastAsiaTheme="minorEastAsia" w:cstheme="minorEastAsia"/>
          <w:b w:val="0"/>
          <w:bCs w:val="0"/>
          <w:sz w:val="24"/>
          <w:szCs w:val="24"/>
          <w:highlight w:val="none"/>
          <w:u w:val="none"/>
        </w:rPr>
        <w:t>未按约定履行义务给</w:t>
      </w:r>
      <w:r>
        <w:rPr>
          <w:rFonts w:hint="eastAsia" w:asciiTheme="minorEastAsia" w:hAnsiTheme="minorEastAsia" w:eastAsiaTheme="minorEastAsia" w:cstheme="minorEastAsia"/>
          <w:b w:val="0"/>
          <w:bCs w:val="0"/>
          <w:sz w:val="24"/>
          <w:szCs w:val="24"/>
          <w:highlight w:val="none"/>
          <w:u w:val="none"/>
          <w:lang w:val="en-US" w:eastAsia="zh-CN"/>
        </w:rPr>
        <w:t>甲方</w:t>
      </w:r>
      <w:r>
        <w:rPr>
          <w:rFonts w:hint="eastAsia" w:asciiTheme="minorEastAsia" w:hAnsiTheme="minorEastAsia" w:eastAsiaTheme="minorEastAsia" w:cstheme="minorEastAsia"/>
          <w:b w:val="0"/>
          <w:bCs w:val="0"/>
          <w:sz w:val="24"/>
          <w:szCs w:val="24"/>
          <w:highlight w:val="none"/>
          <w:u w:val="none"/>
        </w:rPr>
        <w:t>乘客造成人身伤害或设备损坏</w:t>
      </w:r>
      <w:r>
        <w:rPr>
          <w:rFonts w:hint="eastAsia" w:asciiTheme="minorEastAsia" w:hAnsiTheme="minorEastAsia" w:eastAsiaTheme="minorEastAsia" w:cstheme="minorEastAsia"/>
          <w:b w:val="0"/>
          <w:bCs w:val="0"/>
          <w:sz w:val="24"/>
          <w:szCs w:val="24"/>
          <w:highlight w:val="none"/>
          <w:u w:val="none"/>
          <w:lang w:val="en-US" w:eastAsia="zh-CN"/>
        </w:rPr>
        <w:t>造成甲方损失的</w:t>
      </w:r>
      <w:r>
        <w:rPr>
          <w:rFonts w:hint="eastAsia" w:asciiTheme="minorEastAsia" w:hAnsiTheme="minorEastAsia" w:eastAsiaTheme="minorEastAsia" w:cstheme="minorEastAsia"/>
          <w:b w:val="0"/>
          <w:bCs w:val="0"/>
          <w:sz w:val="24"/>
          <w:szCs w:val="24"/>
          <w:highlight w:val="none"/>
          <w:u w:val="none"/>
        </w:rPr>
        <w:t>，</w:t>
      </w:r>
      <w:r>
        <w:rPr>
          <w:rFonts w:hint="eastAsia" w:asciiTheme="minorEastAsia" w:hAnsiTheme="minorEastAsia" w:eastAsiaTheme="minorEastAsia" w:cstheme="minorEastAsia"/>
          <w:b w:val="0"/>
          <w:bCs w:val="0"/>
          <w:sz w:val="24"/>
          <w:szCs w:val="24"/>
          <w:highlight w:val="none"/>
          <w:u w:val="none"/>
          <w:lang w:val="en-US" w:eastAsia="zh-CN"/>
        </w:rPr>
        <w:t>乙方</w:t>
      </w:r>
      <w:r>
        <w:rPr>
          <w:rFonts w:hint="eastAsia" w:asciiTheme="minorEastAsia" w:hAnsiTheme="minorEastAsia" w:eastAsiaTheme="minorEastAsia" w:cstheme="minorEastAsia"/>
          <w:b w:val="0"/>
          <w:bCs w:val="0"/>
          <w:sz w:val="24"/>
          <w:szCs w:val="24"/>
          <w:highlight w:val="none"/>
          <w:u w:val="none"/>
        </w:rPr>
        <w:t>应当承担赔偿责任。</w:t>
      </w:r>
    </w:p>
    <w:p w14:paraId="06415DC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val="en-US" w:eastAsia="zh-CN"/>
        </w:rPr>
        <w:t>2、乙方</w:t>
      </w:r>
      <w:r>
        <w:rPr>
          <w:rFonts w:hint="eastAsia" w:asciiTheme="minorEastAsia" w:hAnsiTheme="minorEastAsia" w:eastAsiaTheme="minorEastAsia" w:cstheme="minorEastAsia"/>
          <w:b w:val="0"/>
          <w:bCs w:val="0"/>
          <w:sz w:val="24"/>
          <w:szCs w:val="24"/>
          <w:highlight w:val="none"/>
          <w:u w:val="none"/>
        </w:rPr>
        <w:t>无法继续履行合同而需要解约的，应当提前一个月通知</w:t>
      </w:r>
      <w:r>
        <w:rPr>
          <w:rFonts w:hint="eastAsia" w:asciiTheme="minorEastAsia" w:hAnsiTheme="minorEastAsia" w:eastAsiaTheme="minorEastAsia" w:cstheme="minorEastAsia"/>
          <w:b w:val="0"/>
          <w:bCs w:val="0"/>
          <w:sz w:val="24"/>
          <w:szCs w:val="24"/>
          <w:highlight w:val="none"/>
          <w:u w:val="none"/>
          <w:lang w:val="en-US" w:eastAsia="zh-CN"/>
        </w:rPr>
        <w:t>甲方</w:t>
      </w:r>
      <w:r>
        <w:rPr>
          <w:rFonts w:hint="eastAsia" w:asciiTheme="minorEastAsia" w:hAnsiTheme="minorEastAsia" w:eastAsiaTheme="minorEastAsia" w:cstheme="minorEastAsia"/>
          <w:b w:val="0"/>
          <w:bCs w:val="0"/>
          <w:sz w:val="24"/>
          <w:szCs w:val="24"/>
          <w:highlight w:val="none"/>
          <w:u w:val="none"/>
        </w:rPr>
        <w:t>，并向对方支付合同总额</w:t>
      </w:r>
      <w:r>
        <w:rPr>
          <w:rFonts w:hint="eastAsia" w:asciiTheme="minorEastAsia" w:hAnsiTheme="minorEastAsia" w:eastAsiaTheme="minorEastAsia" w:cstheme="minorEastAsia"/>
          <w:b w:val="0"/>
          <w:bCs w:val="0"/>
          <w:sz w:val="24"/>
          <w:szCs w:val="24"/>
          <w:highlight w:val="none"/>
          <w:u w:val="none"/>
          <w:lang w:val="en-US" w:eastAsia="zh-CN"/>
        </w:rPr>
        <w:t>30</w:t>
      </w:r>
      <w:r>
        <w:rPr>
          <w:rFonts w:hint="eastAsia" w:asciiTheme="minorEastAsia" w:hAnsiTheme="minorEastAsia" w:eastAsiaTheme="minorEastAsia" w:cstheme="minorEastAsia"/>
          <w:b w:val="0"/>
          <w:bCs w:val="0"/>
          <w:sz w:val="24"/>
          <w:szCs w:val="24"/>
          <w:highlight w:val="none"/>
          <w:u w:val="none"/>
        </w:rPr>
        <w:t>%的违约金</w:t>
      </w:r>
      <w:r>
        <w:rPr>
          <w:rFonts w:hint="eastAsia" w:asciiTheme="minorEastAsia" w:hAnsiTheme="minorEastAsia" w:eastAsiaTheme="minorEastAsia" w:cstheme="minorEastAsia"/>
          <w:b w:val="0"/>
          <w:bCs w:val="0"/>
          <w:sz w:val="24"/>
          <w:szCs w:val="24"/>
          <w:highlight w:val="none"/>
          <w:u w:val="none"/>
          <w:lang w:eastAsia="zh-CN"/>
        </w:rPr>
        <w:t>。</w:t>
      </w:r>
    </w:p>
    <w:p w14:paraId="2A511E3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4"/>
          <w:szCs w:val="24"/>
          <w:highlight w:val="none"/>
          <w:u w:val="none"/>
          <w:lang w:val="en-US" w:eastAsia="zh-CN"/>
        </w:rPr>
      </w:pPr>
    </w:p>
    <w:p w14:paraId="1A76676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color w:val="0000FF"/>
          <w:sz w:val="21"/>
          <w:szCs w:val="21"/>
        </w:rPr>
        <w:t>★说明</w:t>
      </w:r>
      <w:r>
        <w:rPr>
          <w:rFonts w:hint="eastAsia" w:asciiTheme="minorEastAsia" w:hAnsiTheme="minorEastAsia" w:eastAsiaTheme="minorEastAsia" w:cstheme="minorEastAsia"/>
          <w:b/>
          <w:bCs/>
          <w:color w:val="0000FF"/>
          <w:sz w:val="21"/>
          <w:szCs w:val="21"/>
          <w:lang w:val="zh-CN"/>
        </w:rPr>
        <w:t>:</w:t>
      </w:r>
      <w:r>
        <w:rPr>
          <w:rFonts w:hint="eastAsia" w:asciiTheme="minorEastAsia" w:hAnsiTheme="minorEastAsia" w:eastAsiaTheme="minorEastAsia" w:cstheme="minorEastAsia"/>
          <w:b/>
          <w:bCs/>
          <w:color w:val="0000FF"/>
          <w:sz w:val="21"/>
          <w:szCs w:val="21"/>
          <w:lang w:val="en-US" w:eastAsia="zh-CN"/>
        </w:rPr>
        <w:t>服务及</w:t>
      </w:r>
      <w:r>
        <w:rPr>
          <w:rFonts w:hint="eastAsia" w:asciiTheme="minorEastAsia" w:hAnsiTheme="minorEastAsia" w:eastAsiaTheme="minorEastAsia" w:cstheme="minorEastAsia"/>
          <w:b/>
          <w:bCs/>
          <w:color w:val="0000FF"/>
          <w:sz w:val="21"/>
          <w:szCs w:val="21"/>
          <w:lang w:val="zh-CN"/>
        </w:rPr>
        <w:t>商务</w:t>
      </w:r>
      <w:r>
        <w:rPr>
          <w:rFonts w:hint="eastAsia" w:asciiTheme="minorEastAsia" w:hAnsiTheme="minorEastAsia" w:eastAsiaTheme="minorEastAsia" w:cstheme="minorEastAsia"/>
          <w:b/>
          <w:bCs/>
          <w:color w:val="0000FF"/>
          <w:sz w:val="21"/>
          <w:szCs w:val="21"/>
        </w:rPr>
        <w:t>要求</w:t>
      </w:r>
      <w:r>
        <w:rPr>
          <w:rFonts w:hint="eastAsia" w:asciiTheme="minorEastAsia" w:hAnsiTheme="minorEastAsia" w:eastAsiaTheme="minorEastAsia" w:cstheme="minorEastAsia"/>
          <w:b/>
          <w:bCs/>
          <w:color w:val="0000FF"/>
          <w:sz w:val="21"/>
          <w:szCs w:val="21"/>
          <w:lang w:val="zh-CN"/>
        </w:rPr>
        <w:t>中所有指标必须全部响应，任意一项不满足将判定为无效响应。</w:t>
      </w:r>
    </w:p>
    <w:p w14:paraId="72B5DFC9">
      <w:pPr>
        <w:spacing w:line="360" w:lineRule="exact"/>
        <w:ind w:left="0" w:leftChars="0" w:firstLine="0" w:firstLineChars="0"/>
        <w:rPr>
          <w:rFonts w:hint="eastAsia" w:cs="仿宋"/>
          <w:b/>
          <w:bCs/>
          <w:color w:val="000000"/>
          <w:kern w:val="0"/>
          <w:highlight w:val="none"/>
          <w:u w:val="none"/>
          <w:lang w:val="en-US" w:eastAsia="zh-CN"/>
        </w:rPr>
      </w:pPr>
    </w:p>
    <w:p w14:paraId="656F21F3">
      <w:pPr>
        <w:spacing w:line="360" w:lineRule="exact"/>
        <w:ind w:firstLine="2249" w:firstLineChars="800"/>
        <w:rPr>
          <w:rFonts w:hint="eastAsia" w:cs="仿宋"/>
          <w:b/>
          <w:bCs/>
          <w:color w:val="000000"/>
          <w:kern w:val="0"/>
          <w:highlight w:val="none"/>
          <w:u w:val="none"/>
          <w:lang w:val="en-US" w:eastAsia="zh-CN"/>
        </w:rPr>
      </w:pPr>
    </w:p>
    <w:p w14:paraId="5F90360A">
      <w:pPr>
        <w:numPr>
          <w:ilvl w:val="0"/>
          <w:numId w:val="0"/>
        </w:numPr>
        <w:spacing w:line="360" w:lineRule="exact"/>
        <w:ind w:leftChars="800" w:firstLine="1124" w:firstLineChars="400"/>
        <w:rPr>
          <w:rFonts w:hint="eastAsia" w:asciiTheme="minorEastAsia" w:hAnsiTheme="minorEastAsia" w:eastAsiaTheme="minorEastAsia" w:cstheme="minorEastAsia"/>
          <w:b/>
          <w:bCs/>
          <w:color w:val="000000"/>
          <w:kern w:val="0"/>
          <w:sz w:val="28"/>
          <w:szCs w:val="28"/>
          <w:highlight w:val="none"/>
          <w:u w:val="none"/>
          <w:lang w:val="en-US" w:eastAsia="zh-CN"/>
        </w:rPr>
      </w:pPr>
      <w:r>
        <w:rPr>
          <w:rFonts w:hint="eastAsia" w:asciiTheme="minorEastAsia" w:hAnsiTheme="minorEastAsia" w:eastAsiaTheme="minorEastAsia" w:cstheme="minorEastAsia"/>
          <w:b/>
          <w:bCs/>
          <w:color w:val="000000"/>
          <w:kern w:val="0"/>
          <w:sz w:val="28"/>
          <w:szCs w:val="28"/>
          <w:highlight w:val="none"/>
          <w:u w:val="none"/>
          <w:lang w:val="en-US" w:eastAsia="zh-CN"/>
        </w:rPr>
        <w:t>第二部分  响应文件的编制</w:t>
      </w:r>
    </w:p>
    <w:p w14:paraId="5A50A75D">
      <w:pPr>
        <w:widowControl w:val="0"/>
        <w:numPr>
          <w:ilvl w:val="0"/>
          <w:numId w:val="0"/>
        </w:numPr>
        <w:spacing w:line="360" w:lineRule="exact"/>
        <w:jc w:val="both"/>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cs="仿宋"/>
          <w:b/>
          <w:bCs/>
          <w:color w:val="000000"/>
          <w:kern w:val="0"/>
          <w:highlight w:val="none"/>
          <w:u w:val="none"/>
          <w:lang w:val="en-US" w:eastAsia="zh-CN"/>
        </w:rPr>
        <w:t xml:space="preserve"> </w:t>
      </w:r>
      <w:r>
        <w:rPr>
          <w:rFonts w:hint="eastAsia" w:asciiTheme="minorEastAsia" w:hAnsiTheme="minorEastAsia" w:eastAsiaTheme="minorEastAsia" w:cstheme="minorEastAsia"/>
          <w:b/>
          <w:bCs/>
          <w:color w:val="000000"/>
          <w:kern w:val="0"/>
          <w:sz w:val="24"/>
          <w:szCs w:val="24"/>
          <w:highlight w:val="none"/>
          <w:u w:val="none"/>
          <w:lang w:val="en-US" w:eastAsia="zh-CN"/>
        </w:rPr>
        <w:t xml:space="preserve">                       </w:t>
      </w:r>
    </w:p>
    <w:p w14:paraId="46C1E48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578" w:firstLineChars="1900"/>
        <w:jc w:val="both"/>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 xml:space="preserve"> 目录</w:t>
      </w:r>
      <w:r>
        <w:rPr>
          <w:rFonts w:hint="eastAsia" w:asciiTheme="minorEastAsia" w:hAnsiTheme="minorEastAsia" w:eastAsiaTheme="minorEastAsia" w:cstheme="minorEastAsia"/>
          <w:b/>
          <w:bCs/>
          <w:color w:val="000000"/>
          <w:kern w:val="0"/>
          <w:sz w:val="24"/>
          <w:szCs w:val="24"/>
          <w:highlight w:val="none"/>
          <w:u w:val="none"/>
          <w:lang w:val="en-US" w:eastAsia="zh-CN"/>
        </w:rPr>
        <w:br w:type="textWrapping"/>
      </w:r>
      <w:r>
        <w:rPr>
          <w:rFonts w:hint="eastAsia" w:asciiTheme="minorEastAsia" w:hAnsiTheme="minorEastAsia" w:eastAsiaTheme="minorEastAsia" w:cstheme="minorEastAsia"/>
          <w:b/>
          <w:bCs/>
          <w:color w:val="000000"/>
          <w:kern w:val="0"/>
          <w:sz w:val="24"/>
          <w:szCs w:val="24"/>
          <w:highlight w:val="none"/>
          <w:u w:val="none"/>
          <w:lang w:val="en-US" w:eastAsia="zh-CN"/>
        </w:rPr>
        <w:t>1、资质索引表（含资质证明材料）</w:t>
      </w:r>
    </w:p>
    <w:p w14:paraId="2048A9B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2、报价一览表</w:t>
      </w:r>
    </w:p>
    <w:p w14:paraId="1A918E7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3、500元以上常用配件报价单</w:t>
      </w:r>
    </w:p>
    <w:p w14:paraId="2491BCA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color w:val="000000"/>
          <w:kern w:val="0"/>
          <w:sz w:val="24"/>
          <w:szCs w:val="24"/>
          <w:highlight w:val="none"/>
          <w:u w:val="none"/>
          <w:lang w:val="zh-CN"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4、服务条款响应</w:t>
      </w:r>
      <w:r>
        <w:rPr>
          <w:rFonts w:hint="eastAsia" w:asciiTheme="minorEastAsia" w:hAnsiTheme="minorEastAsia" w:eastAsiaTheme="minorEastAsia" w:cstheme="minorEastAsia"/>
          <w:b/>
          <w:bCs/>
          <w:color w:val="000000"/>
          <w:kern w:val="0"/>
          <w:sz w:val="24"/>
          <w:szCs w:val="24"/>
          <w:highlight w:val="none"/>
          <w:u w:val="none"/>
          <w:lang w:val="zh-CN" w:eastAsia="zh-CN"/>
        </w:rPr>
        <w:t>偏离表</w:t>
      </w:r>
    </w:p>
    <w:p w14:paraId="0047C77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5、商务条款响应偏离表</w:t>
      </w:r>
    </w:p>
    <w:p w14:paraId="05A2CF4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6、业绩</w:t>
      </w:r>
    </w:p>
    <w:p w14:paraId="459FA10B">
      <w:pPr>
        <w:keepNext w:val="0"/>
        <w:keepLines w:val="0"/>
        <w:pageBreakBefore w:val="0"/>
        <w:widowControl w:val="0"/>
        <w:kinsoku/>
        <w:wordWrap/>
        <w:overflowPunct/>
        <w:topLinePunct w:val="0"/>
        <w:autoSpaceDE/>
        <w:autoSpaceDN/>
        <w:bidi w:val="0"/>
        <w:adjustRightInd/>
        <w:snapToGrid/>
        <w:spacing w:line="360" w:lineRule="exact"/>
        <w:ind w:firstLine="4578" w:firstLineChars="19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bCs/>
          <w:color w:val="000000"/>
          <w:kern w:val="0"/>
          <w:sz w:val="24"/>
          <w:szCs w:val="24"/>
          <w:highlight w:val="none"/>
          <w:u w:val="none"/>
          <w:lang w:val="en-US" w:eastAsia="zh-CN"/>
        </w:rPr>
        <w:t>资质索引表</w:t>
      </w:r>
    </w:p>
    <w:tbl>
      <w:tblPr>
        <w:tblStyle w:val="19"/>
        <w:tblpPr w:leftFromText="180" w:rightFromText="180" w:vertAnchor="text" w:horzAnchor="page" w:tblpX="1406" w:tblpY="198"/>
        <w:tblOverlap w:val="never"/>
        <w:tblW w:w="9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4"/>
        <w:gridCol w:w="2997"/>
        <w:gridCol w:w="831"/>
      </w:tblGrid>
      <w:tr w14:paraId="7802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94" w:type="dxa"/>
            <w:noWrap w:val="0"/>
            <w:vAlign w:val="center"/>
          </w:tcPr>
          <w:p w14:paraId="5ED5009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资质要求</w:t>
            </w:r>
          </w:p>
        </w:tc>
        <w:tc>
          <w:tcPr>
            <w:tcW w:w="2997" w:type="dxa"/>
            <w:noWrap w:val="0"/>
            <w:vAlign w:val="center"/>
          </w:tcPr>
          <w:p w14:paraId="7218408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在响应文件中的页码位置</w:t>
            </w:r>
          </w:p>
        </w:tc>
        <w:tc>
          <w:tcPr>
            <w:tcW w:w="831" w:type="dxa"/>
            <w:noWrap w:val="0"/>
            <w:vAlign w:val="center"/>
          </w:tcPr>
          <w:p w14:paraId="7DD8089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备注</w:t>
            </w:r>
          </w:p>
        </w:tc>
      </w:tr>
      <w:tr w14:paraId="0667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94" w:type="dxa"/>
            <w:noWrap w:val="0"/>
            <w:vAlign w:val="top"/>
          </w:tcPr>
          <w:p w14:paraId="07DB6E6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（1）具有独立承担民事责任的能力（提供法人或者其他组织的营业执照，自然人的身份证）；</w:t>
            </w:r>
          </w:p>
        </w:tc>
        <w:tc>
          <w:tcPr>
            <w:tcW w:w="2997" w:type="dxa"/>
            <w:noWrap w:val="0"/>
            <w:vAlign w:val="top"/>
          </w:tcPr>
          <w:p w14:paraId="50F35C8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570634D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4771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66A8869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（2）具有良好的商业信誉和健全的财务会计制度（提供参加本次政府采购活动前上一年度的会计报表）</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tc>
        <w:tc>
          <w:tcPr>
            <w:tcW w:w="2997" w:type="dxa"/>
            <w:noWrap w:val="0"/>
            <w:vAlign w:val="top"/>
          </w:tcPr>
          <w:p w14:paraId="7D74157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48BF481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1739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6929006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（3）具有履行合同所必需的设备和专业技术能力（根据项目需求提供履行合同所必需的设备和专业技术能力的声明及证明材料）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p>
        </w:tc>
        <w:tc>
          <w:tcPr>
            <w:tcW w:w="2997" w:type="dxa"/>
            <w:noWrap w:val="0"/>
            <w:vAlign w:val="top"/>
          </w:tcPr>
          <w:p w14:paraId="6C87CDA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3653DB8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252F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305C729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（4）有依法缴纳税收和社会保障资金的良好记录（提供参加本次政府采购活动前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一年内（任意一个月）依法缴纳税收和社会保障资金的相关材料）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tc>
        <w:tc>
          <w:tcPr>
            <w:tcW w:w="2997" w:type="dxa"/>
            <w:noWrap w:val="0"/>
            <w:vAlign w:val="top"/>
          </w:tcPr>
          <w:p w14:paraId="65392B3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76A6E8A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035F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75D423B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（5）参加采购活动前三年内，在经营活动中没有重大违法记录（提供参加本次采购活动前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3年内在经营活动中没有重大违法记录的书面声明）；</w:t>
            </w:r>
          </w:p>
        </w:tc>
        <w:tc>
          <w:tcPr>
            <w:tcW w:w="2997" w:type="dxa"/>
            <w:noWrap w:val="0"/>
            <w:vAlign w:val="top"/>
          </w:tcPr>
          <w:p w14:paraId="73CD7C1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6CFBCB9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4852D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1E24080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bCs/>
                <w:color w:val="000000"/>
                <w:kern w:val="0"/>
                <w:sz w:val="24"/>
                <w:szCs w:val="24"/>
                <w:highlight w:val="none"/>
                <w:u w:val="single"/>
              </w:rPr>
            </w:pPr>
            <w:r>
              <w:rPr>
                <w:rFonts w:hint="eastAsia" w:asciiTheme="minorEastAsia" w:hAnsiTheme="minorEastAsia" w:eastAsiaTheme="minorEastAsia" w:cstheme="minorEastAsia"/>
                <w:b/>
                <w:bCs/>
                <w:color w:val="000000"/>
                <w:kern w:val="0"/>
                <w:sz w:val="24"/>
                <w:szCs w:val="24"/>
                <w:highlight w:val="none"/>
                <w:u w:val="single"/>
                <w:lang w:val="en-US"/>
              </w:rPr>
              <w:t xml:space="preserve">1 </w:t>
            </w:r>
            <w:r>
              <w:rPr>
                <w:rFonts w:hint="eastAsia" w:asciiTheme="minorEastAsia" w:hAnsiTheme="minorEastAsia" w:eastAsiaTheme="minorEastAsia" w:cstheme="minorEastAsia"/>
                <w:b/>
                <w:bCs/>
                <w:color w:val="000000"/>
                <w:kern w:val="0"/>
                <w:sz w:val="24"/>
                <w:szCs w:val="24"/>
                <w:highlight w:val="none"/>
                <w:u w:val="single"/>
              </w:rPr>
              <w:t>投标服务商须具有有效期内含有曳引驱动乘客电梯安装修理项目许可的《特种设备生产许可证》或有效期内的《特种设备（电梯）安装维修许可证》B级及以上资质 （提供有效的证明材料并加盖公章，原件备查）</w:t>
            </w:r>
          </w:p>
          <w:p w14:paraId="4EE47CC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bCs/>
                <w:color w:val="000000"/>
                <w:kern w:val="0"/>
                <w:sz w:val="24"/>
                <w:szCs w:val="24"/>
                <w:highlight w:val="none"/>
                <w:u w:val="single"/>
                <w:lang w:val="en-US"/>
              </w:rPr>
              <w:t>2 电梯维保人员需具有电梯维修方面专业技术资格证书并持证上岗。</w:t>
            </w:r>
          </w:p>
        </w:tc>
        <w:tc>
          <w:tcPr>
            <w:tcW w:w="2997" w:type="dxa"/>
            <w:noWrap w:val="0"/>
            <w:vAlign w:val="top"/>
          </w:tcPr>
          <w:p w14:paraId="343458A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5CF7E51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bl>
    <w:p w14:paraId="3729977C">
      <w:pPr>
        <w:pStyle w:val="24"/>
        <w:spacing w:line="400" w:lineRule="exact"/>
        <w:rPr>
          <w:rFonts w:hint="eastAsia" w:asciiTheme="minorEastAsia" w:hAnsiTheme="minorEastAsia" w:eastAsiaTheme="minorEastAsia" w:cstheme="minorEastAsia"/>
          <w:b/>
          <w:bCs/>
          <w:sz w:val="24"/>
          <w:szCs w:val="24"/>
        </w:rPr>
      </w:pPr>
    </w:p>
    <w:p w14:paraId="0D88372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附件1: 报价一览表</w:t>
      </w:r>
    </w:p>
    <w:p w14:paraId="438C7EF5">
      <w:pPr>
        <w:spacing w:line="400" w:lineRule="exact"/>
        <w:ind w:firstLine="560"/>
        <w:rPr>
          <w:rFonts w:hint="eastAsia" w:asciiTheme="minorEastAsia" w:hAnsiTheme="minorEastAsia" w:eastAsiaTheme="minorEastAsia" w:cstheme="minorEastAsia"/>
          <w:b w:val="0"/>
          <w:bCs w:val="0"/>
          <w:sz w:val="24"/>
          <w:szCs w:val="24"/>
          <w:u w:val="none"/>
          <w:lang w:eastAsia="zh-CN"/>
        </w:rPr>
      </w:pPr>
    </w:p>
    <w:p w14:paraId="57EC8120">
      <w:pPr>
        <w:pStyle w:val="2"/>
        <w:rPr>
          <w:rFonts w:hint="eastAsia" w:asciiTheme="minorEastAsia" w:hAnsiTheme="minorEastAsia" w:eastAsiaTheme="minorEastAsia" w:cstheme="minorEastAsia"/>
          <w:b w:val="0"/>
          <w:bCs w:val="0"/>
          <w:sz w:val="24"/>
          <w:szCs w:val="24"/>
          <w:u w:val="none"/>
          <w:lang w:eastAsia="zh-CN"/>
        </w:rPr>
      </w:pPr>
    </w:p>
    <w:p w14:paraId="7EF4A657">
      <w:pPr>
        <w:rPr>
          <w:rFonts w:hint="eastAsia" w:asciiTheme="minorEastAsia" w:hAnsiTheme="minorEastAsia" w:eastAsiaTheme="minorEastAsia" w:cstheme="minorEastAsia"/>
          <w:b w:val="0"/>
          <w:bCs w:val="0"/>
          <w:sz w:val="24"/>
          <w:szCs w:val="24"/>
          <w:u w:val="none"/>
          <w:lang w:eastAsia="zh-CN"/>
        </w:rPr>
      </w:pPr>
    </w:p>
    <w:p w14:paraId="574FEC39">
      <w:pPr>
        <w:keepNext w:val="0"/>
        <w:keepLines w:val="0"/>
        <w:pageBreakBefore w:val="0"/>
        <w:widowControl w:val="0"/>
        <w:kinsoku/>
        <w:wordWrap/>
        <w:overflowPunct/>
        <w:topLinePunct w:val="0"/>
        <w:autoSpaceDE/>
        <w:autoSpaceDN/>
        <w:bidi w:val="0"/>
        <w:adjustRightInd/>
        <w:snapToGrid/>
        <w:spacing w:line="360" w:lineRule="exact"/>
        <w:ind w:left="0" w:leftChars="0" w:firstLine="4320" w:firstLineChars="180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报价表</w:t>
      </w:r>
    </w:p>
    <w:tbl>
      <w:tblPr>
        <w:tblStyle w:val="19"/>
        <w:tblW w:w="10597" w:type="dxa"/>
        <w:tblInd w:w="-35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71"/>
        <w:gridCol w:w="3686"/>
        <w:gridCol w:w="2126"/>
        <w:gridCol w:w="1807"/>
        <w:gridCol w:w="1807"/>
      </w:tblGrid>
      <w:tr w14:paraId="61FB2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83" w:type="dxa"/>
            <w:gridSpan w:val="3"/>
            <w:tcBorders>
              <w:top w:val="nil"/>
              <w:left w:val="nil"/>
              <w:bottom w:val="single" w:color="auto" w:sz="6" w:space="0"/>
              <w:right w:val="nil"/>
            </w:tcBorders>
            <w:noWrap w:val="0"/>
            <w:vAlign w:val="center"/>
          </w:tcPr>
          <w:p w14:paraId="38F7917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项目名称：</w:t>
            </w:r>
          </w:p>
        </w:tc>
        <w:tc>
          <w:tcPr>
            <w:tcW w:w="1807" w:type="dxa"/>
            <w:tcBorders>
              <w:top w:val="nil"/>
              <w:left w:val="nil"/>
              <w:bottom w:val="single" w:color="auto" w:sz="6" w:space="0"/>
              <w:right w:val="nil"/>
            </w:tcBorders>
            <w:noWrap w:val="0"/>
            <w:vAlign w:val="center"/>
          </w:tcPr>
          <w:p w14:paraId="0D33041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p>
        </w:tc>
        <w:tc>
          <w:tcPr>
            <w:tcW w:w="1807" w:type="dxa"/>
            <w:tcBorders>
              <w:top w:val="nil"/>
              <w:left w:val="nil"/>
              <w:bottom w:val="single" w:color="auto" w:sz="6" w:space="0"/>
              <w:right w:val="nil"/>
            </w:tcBorders>
            <w:noWrap w:val="0"/>
            <w:vAlign w:val="center"/>
          </w:tcPr>
          <w:p w14:paraId="45E08DB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项目编号：</w:t>
            </w:r>
          </w:p>
        </w:tc>
      </w:tr>
      <w:tr w14:paraId="05077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71" w:type="dxa"/>
            <w:tcBorders>
              <w:top w:val="single" w:color="auto" w:sz="6" w:space="0"/>
              <w:left w:val="single" w:color="auto" w:sz="6" w:space="0"/>
              <w:bottom w:val="single" w:color="auto" w:sz="6" w:space="0"/>
              <w:right w:val="single" w:color="auto" w:sz="6" w:space="0"/>
            </w:tcBorders>
            <w:noWrap w:val="0"/>
            <w:vAlign w:val="center"/>
          </w:tcPr>
          <w:p w14:paraId="0E8475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序号</w:t>
            </w:r>
          </w:p>
        </w:tc>
        <w:tc>
          <w:tcPr>
            <w:tcW w:w="3686" w:type="dxa"/>
            <w:tcBorders>
              <w:top w:val="single" w:color="auto" w:sz="6" w:space="0"/>
              <w:left w:val="single" w:color="auto" w:sz="6" w:space="0"/>
              <w:bottom w:val="single" w:color="auto" w:sz="6" w:space="0"/>
              <w:right w:val="single" w:color="auto" w:sz="6" w:space="0"/>
            </w:tcBorders>
            <w:noWrap w:val="0"/>
            <w:vAlign w:val="center"/>
          </w:tcPr>
          <w:p w14:paraId="5955D5E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名               称</w:t>
            </w:r>
          </w:p>
        </w:tc>
        <w:tc>
          <w:tcPr>
            <w:tcW w:w="2126" w:type="dxa"/>
            <w:tcBorders>
              <w:top w:val="single" w:color="auto" w:sz="6" w:space="0"/>
              <w:left w:val="single" w:color="auto" w:sz="6" w:space="0"/>
              <w:bottom w:val="single" w:color="auto" w:sz="6" w:space="0"/>
              <w:right w:val="single" w:color="auto" w:sz="6" w:space="0"/>
            </w:tcBorders>
            <w:noWrap w:val="0"/>
            <w:vAlign w:val="center"/>
          </w:tcPr>
          <w:p w14:paraId="38E4EA1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报价（元</w:t>
            </w:r>
            <w:r>
              <w:rPr>
                <w:rFonts w:hint="eastAsia" w:asciiTheme="minorEastAsia" w:hAnsiTheme="minorEastAsia" w:eastAsiaTheme="minorEastAsia" w:cstheme="minorEastAsia"/>
                <w:b w:val="0"/>
                <w:bCs w:val="0"/>
                <w:color w:val="000000"/>
                <w:kern w:val="0"/>
                <w:sz w:val="24"/>
                <w:szCs w:val="24"/>
                <w:highlight w:val="none"/>
                <w:u w:val="none"/>
                <w:lang w:val="en-US" w:eastAsia="zh-CN"/>
              </w:rPr>
              <w:t>/年</w:t>
            </w:r>
            <w:r>
              <w:rPr>
                <w:rFonts w:hint="eastAsia" w:asciiTheme="minorEastAsia" w:hAnsiTheme="minorEastAsia" w:eastAsiaTheme="minorEastAsia" w:cstheme="minorEastAsia"/>
                <w:b w:val="0"/>
                <w:bCs w:val="0"/>
                <w:color w:val="000000"/>
                <w:kern w:val="0"/>
                <w:sz w:val="24"/>
                <w:szCs w:val="24"/>
                <w:highlight w:val="none"/>
                <w:u w:val="none"/>
                <w:lang w:val="zh-CN"/>
              </w:rPr>
              <w:t>）</w:t>
            </w:r>
          </w:p>
        </w:tc>
        <w:tc>
          <w:tcPr>
            <w:tcW w:w="1807" w:type="dxa"/>
            <w:tcBorders>
              <w:top w:val="single" w:color="auto" w:sz="6" w:space="0"/>
              <w:left w:val="single" w:color="auto" w:sz="6" w:space="0"/>
              <w:bottom w:val="single" w:color="auto" w:sz="6" w:space="0"/>
              <w:right w:val="single" w:color="auto" w:sz="6" w:space="0"/>
            </w:tcBorders>
            <w:noWrap w:val="0"/>
            <w:vAlign w:val="center"/>
          </w:tcPr>
          <w:p w14:paraId="77F7E7F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p>
        </w:tc>
        <w:tc>
          <w:tcPr>
            <w:tcW w:w="1807" w:type="dxa"/>
            <w:tcBorders>
              <w:top w:val="single" w:color="auto" w:sz="6" w:space="0"/>
              <w:left w:val="single" w:color="auto" w:sz="6" w:space="0"/>
              <w:bottom w:val="single" w:color="auto" w:sz="6" w:space="0"/>
              <w:right w:val="single" w:color="auto" w:sz="6" w:space="0"/>
            </w:tcBorders>
            <w:noWrap w:val="0"/>
            <w:vAlign w:val="center"/>
          </w:tcPr>
          <w:p w14:paraId="2464F6E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p>
        </w:tc>
      </w:tr>
      <w:tr w14:paraId="5FEFC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71" w:type="dxa"/>
            <w:tcBorders>
              <w:top w:val="single" w:color="auto" w:sz="6" w:space="0"/>
              <w:left w:val="single" w:color="auto" w:sz="6" w:space="0"/>
              <w:bottom w:val="single" w:color="auto" w:sz="6" w:space="0"/>
              <w:right w:val="single" w:color="auto" w:sz="6" w:space="0"/>
            </w:tcBorders>
            <w:noWrap w:val="0"/>
            <w:vAlign w:val="center"/>
          </w:tcPr>
          <w:p w14:paraId="14082F1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1</w:t>
            </w:r>
          </w:p>
        </w:tc>
        <w:tc>
          <w:tcPr>
            <w:tcW w:w="3686" w:type="dxa"/>
            <w:tcBorders>
              <w:top w:val="single" w:color="auto" w:sz="6" w:space="0"/>
              <w:left w:val="single" w:color="auto" w:sz="6" w:space="0"/>
              <w:bottom w:val="single" w:color="auto" w:sz="6" w:space="0"/>
              <w:right w:val="single" w:color="auto" w:sz="6" w:space="0"/>
            </w:tcBorders>
            <w:noWrap w:val="0"/>
            <w:vAlign w:val="center"/>
          </w:tcPr>
          <w:p w14:paraId="55978CA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5部杂物梯电梯维保服务</w:t>
            </w:r>
          </w:p>
        </w:tc>
        <w:tc>
          <w:tcPr>
            <w:tcW w:w="2126" w:type="dxa"/>
            <w:tcBorders>
              <w:top w:val="single" w:color="auto" w:sz="6" w:space="0"/>
              <w:left w:val="single" w:color="auto" w:sz="6" w:space="0"/>
              <w:bottom w:val="single" w:color="auto" w:sz="6" w:space="0"/>
              <w:right w:val="single" w:color="auto" w:sz="6" w:space="0"/>
            </w:tcBorders>
            <w:noWrap w:val="0"/>
            <w:vAlign w:val="center"/>
          </w:tcPr>
          <w:p w14:paraId="7AC8A53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p>
        </w:tc>
        <w:tc>
          <w:tcPr>
            <w:tcW w:w="1807" w:type="dxa"/>
            <w:tcBorders>
              <w:top w:val="single" w:color="auto" w:sz="6" w:space="0"/>
              <w:left w:val="single" w:color="auto" w:sz="6" w:space="0"/>
              <w:bottom w:val="single" w:color="auto" w:sz="6" w:space="0"/>
              <w:right w:val="single" w:color="auto" w:sz="6" w:space="0"/>
            </w:tcBorders>
            <w:noWrap w:val="0"/>
            <w:vAlign w:val="center"/>
          </w:tcPr>
          <w:p w14:paraId="0433EA5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p>
        </w:tc>
        <w:tc>
          <w:tcPr>
            <w:tcW w:w="1807" w:type="dxa"/>
            <w:tcBorders>
              <w:top w:val="single" w:color="auto" w:sz="6" w:space="0"/>
              <w:left w:val="single" w:color="auto" w:sz="6" w:space="0"/>
              <w:bottom w:val="single" w:color="auto" w:sz="6" w:space="0"/>
              <w:right w:val="single" w:color="auto" w:sz="6" w:space="0"/>
            </w:tcBorders>
            <w:noWrap w:val="0"/>
            <w:vAlign w:val="center"/>
          </w:tcPr>
          <w:p w14:paraId="6FEA59A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p>
        </w:tc>
      </w:tr>
      <w:tr w14:paraId="04C31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117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13B2CB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eastAsia="zh-CN" w:bidi="ar-SA"/>
              </w:rPr>
            </w:pPr>
            <w:r>
              <w:rPr>
                <w:rFonts w:hint="eastAsia" w:asciiTheme="minorEastAsia" w:hAnsiTheme="minorEastAsia" w:eastAsiaTheme="minorEastAsia" w:cstheme="minorEastAsia"/>
                <w:b w:val="0"/>
                <w:bCs w:val="0"/>
                <w:color w:val="000000"/>
                <w:kern w:val="0"/>
                <w:sz w:val="24"/>
                <w:szCs w:val="24"/>
                <w:highlight w:val="none"/>
                <w:u w:val="none"/>
                <w:lang w:val="zh-CN"/>
              </w:rPr>
              <w:t>供应商是否属于小微型企业</w:t>
            </w:r>
          </w:p>
        </w:tc>
        <w:tc>
          <w:tcPr>
            <w:tcW w:w="9426" w:type="dxa"/>
            <w:gridSpan w:val="4"/>
            <w:tcBorders>
              <w:top w:val="single" w:color="auto" w:sz="6" w:space="0"/>
              <w:left w:val="single" w:color="auto" w:sz="6" w:space="0"/>
              <w:bottom w:val="single" w:color="auto" w:sz="6" w:space="0"/>
              <w:right w:val="single" w:color="auto" w:sz="6" w:space="0"/>
            </w:tcBorders>
            <w:shd w:val="clear" w:color="auto" w:fill="auto"/>
            <w:noWrap w:val="0"/>
            <w:vAlign w:val="center"/>
          </w:tcPr>
          <w:p w14:paraId="3C53C79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bidi="ar-SA"/>
              </w:rPr>
            </w:pPr>
            <w:r>
              <w:rPr>
                <w:rFonts w:hint="eastAsia" w:asciiTheme="minorEastAsia" w:hAnsiTheme="minorEastAsia" w:eastAsiaTheme="minorEastAsia" w:cstheme="minorEastAsia"/>
                <w:b w:val="0"/>
                <w:bCs w:val="0"/>
                <w:color w:val="000000"/>
                <w:kern w:val="0"/>
                <w:sz w:val="24"/>
                <w:szCs w:val="24"/>
                <w:highlight w:val="none"/>
                <w:u w:val="none"/>
                <w:lang w:val="zh-CN"/>
              </w:rPr>
              <w:t>是       否</w:t>
            </w:r>
          </w:p>
        </w:tc>
      </w:tr>
      <w:tr w14:paraId="730E2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1171" w:type="dxa"/>
            <w:tcBorders>
              <w:top w:val="single" w:color="auto" w:sz="6" w:space="0"/>
              <w:left w:val="single" w:color="auto" w:sz="6" w:space="0"/>
              <w:bottom w:val="single" w:color="auto" w:sz="6" w:space="0"/>
              <w:right w:val="single" w:color="auto" w:sz="6" w:space="0"/>
            </w:tcBorders>
            <w:noWrap w:val="0"/>
            <w:vAlign w:val="center"/>
          </w:tcPr>
          <w:p w14:paraId="2B84B05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lang w:eastAsia="zh-CN"/>
              </w:rPr>
              <w:t>服务期限</w:t>
            </w:r>
          </w:p>
        </w:tc>
        <w:tc>
          <w:tcPr>
            <w:tcW w:w="9426" w:type="dxa"/>
            <w:gridSpan w:val="4"/>
            <w:tcBorders>
              <w:top w:val="single" w:color="auto" w:sz="6" w:space="0"/>
              <w:left w:val="single" w:color="auto" w:sz="6" w:space="0"/>
              <w:bottom w:val="single" w:color="auto" w:sz="6" w:space="0"/>
              <w:right w:val="single" w:color="auto" w:sz="6" w:space="0"/>
            </w:tcBorders>
            <w:noWrap w:val="0"/>
            <w:vAlign w:val="center"/>
          </w:tcPr>
          <w:p w14:paraId="31C813F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color w:val="000000"/>
                <w:kern w:val="0"/>
                <w:sz w:val="24"/>
                <w:szCs w:val="24"/>
                <w:highlight w:val="none"/>
                <w:u w:val="none"/>
                <w:lang w:val="en-US"/>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一招三年，合同一年一签</w:t>
            </w:r>
          </w:p>
        </w:tc>
      </w:tr>
      <w:tr w14:paraId="41EC1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1171" w:type="dxa"/>
            <w:tcBorders>
              <w:top w:val="single" w:color="auto" w:sz="6" w:space="0"/>
              <w:left w:val="single" w:color="auto" w:sz="6" w:space="0"/>
              <w:bottom w:val="single" w:color="auto" w:sz="6" w:space="0"/>
              <w:right w:val="single" w:color="auto" w:sz="6" w:space="0"/>
            </w:tcBorders>
            <w:noWrap w:val="0"/>
            <w:vAlign w:val="center"/>
          </w:tcPr>
          <w:p w14:paraId="49ED0ED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项目负责人及联系方式</w:t>
            </w:r>
          </w:p>
        </w:tc>
        <w:tc>
          <w:tcPr>
            <w:tcW w:w="9426" w:type="dxa"/>
            <w:gridSpan w:val="4"/>
            <w:tcBorders>
              <w:top w:val="single" w:color="auto" w:sz="6" w:space="0"/>
              <w:left w:val="single" w:color="auto" w:sz="6" w:space="0"/>
              <w:bottom w:val="single" w:color="auto" w:sz="6" w:space="0"/>
              <w:right w:val="single" w:color="auto" w:sz="6" w:space="0"/>
            </w:tcBorders>
            <w:noWrap w:val="0"/>
            <w:vAlign w:val="center"/>
          </w:tcPr>
          <w:p w14:paraId="52AA2E0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p>
        </w:tc>
      </w:tr>
    </w:tbl>
    <w:p w14:paraId="76FC66E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供应商名称:                                                  （盖章）</w:t>
      </w:r>
    </w:p>
    <w:p w14:paraId="292B4DBB">
      <w:pPr>
        <w:pStyle w:val="2"/>
        <w:rPr>
          <w:rFonts w:hint="eastAsia"/>
          <w:lang w:val="zh-CN" w:eastAsia="zh-CN"/>
        </w:rPr>
      </w:pPr>
    </w:p>
    <w:p w14:paraId="067FF3F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rPr>
        <w:t>3、</w:t>
      </w:r>
      <w:r>
        <w:rPr>
          <w:rFonts w:hint="eastAsia" w:asciiTheme="minorEastAsia" w:hAnsiTheme="minorEastAsia" w:eastAsiaTheme="minorEastAsia" w:cstheme="minorEastAsia"/>
          <w:b w:val="0"/>
          <w:bCs w:val="0"/>
          <w:color w:val="000000"/>
          <w:kern w:val="0"/>
          <w:sz w:val="24"/>
          <w:szCs w:val="24"/>
          <w:highlight w:val="none"/>
          <w:u w:val="none"/>
          <w:lang w:val="zh-CN"/>
        </w:rPr>
        <w:t>在“供应商是否属于小和微型企业”栏后“是”或“否”上打“√”，小微企业享受报价扣除</w:t>
      </w:r>
      <w:r>
        <w:rPr>
          <w:rFonts w:hint="eastAsia" w:asciiTheme="minorEastAsia" w:hAnsiTheme="minorEastAsia" w:eastAsiaTheme="minorEastAsia" w:cstheme="minorEastAsia"/>
          <w:b w:val="0"/>
          <w:bCs w:val="0"/>
          <w:color w:val="000000"/>
          <w:kern w:val="0"/>
          <w:sz w:val="24"/>
          <w:szCs w:val="24"/>
          <w:highlight w:val="none"/>
          <w:u w:val="none"/>
          <w:lang w:val="en-US" w:eastAsia="zh-CN"/>
        </w:rPr>
        <w:t>10%参与评标。</w:t>
      </w:r>
    </w:p>
    <w:p w14:paraId="01BAE75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p>
    <w:p w14:paraId="796F3797">
      <w:pPr>
        <w:spacing w:line="400" w:lineRule="exact"/>
        <w:ind w:firstLine="560"/>
        <w:rPr>
          <w:rFonts w:hint="eastAsia" w:asciiTheme="minorEastAsia" w:hAnsiTheme="minorEastAsia" w:eastAsiaTheme="minorEastAsia" w:cstheme="minorEastAsia"/>
          <w:b w:val="0"/>
          <w:bCs w:val="0"/>
          <w:sz w:val="24"/>
          <w:szCs w:val="24"/>
          <w:u w:val="none"/>
          <w:lang w:eastAsia="zh-CN"/>
        </w:rPr>
      </w:pPr>
    </w:p>
    <w:p w14:paraId="1500C59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bCs/>
          <w:color w:val="000000"/>
          <w:kern w:val="0"/>
          <w:sz w:val="24"/>
          <w:szCs w:val="24"/>
          <w:highlight w:val="none"/>
          <w:u w:val="none"/>
          <w:lang w:val="zh-CN"/>
        </w:rPr>
      </w:pPr>
      <w:r>
        <w:rPr>
          <w:rFonts w:hint="eastAsia" w:asciiTheme="minorEastAsia" w:hAnsiTheme="minorEastAsia" w:eastAsiaTheme="minorEastAsia" w:cstheme="minorEastAsia"/>
          <w:b/>
          <w:bCs/>
          <w:color w:val="000000"/>
          <w:kern w:val="0"/>
          <w:sz w:val="24"/>
          <w:szCs w:val="24"/>
          <w:highlight w:val="none"/>
          <w:u w:val="none"/>
          <w:lang w:val="en-US" w:eastAsia="zh-CN"/>
        </w:rPr>
        <w:t>附件2:</w:t>
      </w:r>
      <w:r>
        <w:rPr>
          <w:rFonts w:hint="eastAsia" w:asciiTheme="minorEastAsia" w:hAnsiTheme="minorEastAsia" w:eastAsiaTheme="minorEastAsia" w:cstheme="minorEastAsia"/>
          <w:b/>
          <w:bCs/>
          <w:color w:val="000000"/>
          <w:kern w:val="0"/>
          <w:sz w:val="24"/>
          <w:szCs w:val="24"/>
          <w:highlight w:val="none"/>
          <w:u w:val="none"/>
          <w:lang w:val="zh-CN"/>
        </w:rPr>
        <w:t>分项报价表</w:t>
      </w:r>
    </w:p>
    <w:tbl>
      <w:tblPr>
        <w:tblStyle w:val="19"/>
        <w:tblpPr w:leftFromText="180" w:rightFromText="180" w:vertAnchor="text" w:horzAnchor="page" w:tblpX="1282" w:tblpY="75"/>
        <w:tblOverlap w:val="never"/>
        <w:tblW w:w="10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590"/>
        <w:gridCol w:w="1299"/>
        <w:gridCol w:w="1134"/>
        <w:gridCol w:w="992"/>
        <w:gridCol w:w="839"/>
        <w:gridCol w:w="1775"/>
        <w:gridCol w:w="1775"/>
      </w:tblGrid>
      <w:tr w14:paraId="32395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3B7C982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eastAsia="zh-CN"/>
              </w:rPr>
            </w:pPr>
            <w:r>
              <w:rPr>
                <w:rFonts w:hint="eastAsia" w:asciiTheme="minorEastAsia" w:hAnsiTheme="minorEastAsia" w:eastAsiaTheme="minorEastAsia" w:cstheme="minorEastAsia"/>
                <w:b w:val="0"/>
                <w:bCs w:val="0"/>
                <w:color w:val="000000"/>
                <w:kern w:val="0"/>
                <w:sz w:val="24"/>
                <w:szCs w:val="24"/>
                <w:highlight w:val="none"/>
                <w:u w:val="none"/>
                <w:lang w:val="zh-CN" w:eastAsia="zh-CN"/>
              </w:rPr>
              <w:t>序号</w:t>
            </w:r>
          </w:p>
        </w:tc>
        <w:tc>
          <w:tcPr>
            <w:tcW w:w="1590" w:type="dxa"/>
            <w:noWrap w:val="0"/>
            <w:vAlign w:val="top"/>
          </w:tcPr>
          <w:p w14:paraId="780104E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eastAsia="zh-CN"/>
              </w:rPr>
              <w:t>电梯编</w:t>
            </w:r>
            <w:r>
              <w:rPr>
                <w:rFonts w:hint="eastAsia" w:asciiTheme="minorEastAsia" w:hAnsiTheme="minorEastAsia" w:eastAsiaTheme="minorEastAsia" w:cstheme="minorEastAsia"/>
                <w:b w:val="0"/>
                <w:bCs w:val="0"/>
                <w:color w:val="000000"/>
                <w:kern w:val="0"/>
                <w:sz w:val="24"/>
                <w:szCs w:val="24"/>
                <w:highlight w:val="none"/>
                <w:u w:val="none"/>
                <w:lang w:val="zh-CN"/>
              </w:rPr>
              <w:t>号</w:t>
            </w:r>
          </w:p>
        </w:tc>
        <w:tc>
          <w:tcPr>
            <w:tcW w:w="1299" w:type="dxa"/>
            <w:noWrap w:val="0"/>
            <w:vAlign w:val="top"/>
          </w:tcPr>
          <w:p w14:paraId="3D6E370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eastAsia="zh-CN"/>
              </w:rPr>
            </w:pPr>
            <w:r>
              <w:rPr>
                <w:rFonts w:hint="eastAsia" w:asciiTheme="minorEastAsia" w:hAnsiTheme="minorEastAsia" w:eastAsiaTheme="minorEastAsia" w:cstheme="minorEastAsia"/>
                <w:b w:val="0"/>
                <w:bCs w:val="0"/>
                <w:color w:val="000000"/>
                <w:kern w:val="0"/>
                <w:sz w:val="24"/>
                <w:szCs w:val="24"/>
                <w:highlight w:val="none"/>
                <w:u w:val="none"/>
                <w:lang w:val="zh-CN" w:eastAsia="zh-CN"/>
              </w:rPr>
              <w:t>电梯品牌</w:t>
            </w:r>
          </w:p>
        </w:tc>
        <w:tc>
          <w:tcPr>
            <w:tcW w:w="1134" w:type="dxa"/>
            <w:noWrap w:val="0"/>
            <w:vAlign w:val="top"/>
          </w:tcPr>
          <w:p w14:paraId="068B825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层/站</w:t>
            </w:r>
          </w:p>
        </w:tc>
        <w:tc>
          <w:tcPr>
            <w:tcW w:w="992" w:type="dxa"/>
            <w:noWrap w:val="0"/>
            <w:vAlign w:val="top"/>
          </w:tcPr>
          <w:p w14:paraId="518186B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载重kg</w:t>
            </w:r>
          </w:p>
        </w:tc>
        <w:tc>
          <w:tcPr>
            <w:tcW w:w="839" w:type="dxa"/>
            <w:noWrap w:val="0"/>
            <w:vAlign w:val="top"/>
          </w:tcPr>
          <w:p w14:paraId="02BC43F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台数</w:t>
            </w:r>
          </w:p>
        </w:tc>
        <w:tc>
          <w:tcPr>
            <w:tcW w:w="1775" w:type="dxa"/>
            <w:noWrap w:val="0"/>
            <w:vAlign w:val="top"/>
          </w:tcPr>
          <w:p w14:paraId="7F51D03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eastAsia="zh-CN"/>
              </w:rPr>
            </w:pPr>
            <w:r>
              <w:rPr>
                <w:rFonts w:hint="eastAsia" w:asciiTheme="minorEastAsia" w:hAnsiTheme="minorEastAsia" w:eastAsiaTheme="minorEastAsia" w:cstheme="minorEastAsia"/>
                <w:b w:val="0"/>
                <w:bCs w:val="0"/>
                <w:color w:val="000000"/>
                <w:kern w:val="0"/>
                <w:sz w:val="24"/>
                <w:szCs w:val="24"/>
                <w:highlight w:val="none"/>
                <w:u w:val="none"/>
                <w:lang w:val="zh-CN" w:eastAsia="zh-CN"/>
              </w:rPr>
              <w:t>投入使用时间</w:t>
            </w:r>
          </w:p>
        </w:tc>
        <w:tc>
          <w:tcPr>
            <w:tcW w:w="1775" w:type="dxa"/>
            <w:noWrap w:val="0"/>
            <w:vAlign w:val="top"/>
          </w:tcPr>
          <w:p w14:paraId="142625D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单价（元）</w:t>
            </w:r>
          </w:p>
        </w:tc>
      </w:tr>
      <w:tr w14:paraId="037F1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15401F0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1</w:t>
            </w:r>
          </w:p>
        </w:tc>
        <w:tc>
          <w:tcPr>
            <w:tcW w:w="1590" w:type="dxa"/>
            <w:noWrap w:val="0"/>
            <w:vAlign w:val="top"/>
          </w:tcPr>
          <w:p w14:paraId="5C6D903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20A146</w:t>
            </w:r>
          </w:p>
        </w:tc>
        <w:tc>
          <w:tcPr>
            <w:tcW w:w="1299" w:type="dxa"/>
            <w:noWrap w:val="0"/>
            <w:vAlign w:val="top"/>
          </w:tcPr>
          <w:p w14:paraId="4712BCC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扬州帝申</w:t>
            </w:r>
          </w:p>
        </w:tc>
        <w:tc>
          <w:tcPr>
            <w:tcW w:w="1134" w:type="dxa"/>
            <w:noWrap w:val="0"/>
            <w:vAlign w:val="top"/>
          </w:tcPr>
          <w:p w14:paraId="1FEC2FB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2/2</w:t>
            </w:r>
          </w:p>
        </w:tc>
        <w:tc>
          <w:tcPr>
            <w:tcW w:w="992" w:type="dxa"/>
            <w:noWrap w:val="0"/>
            <w:vAlign w:val="top"/>
          </w:tcPr>
          <w:p w14:paraId="5074FE5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250</w:t>
            </w:r>
          </w:p>
        </w:tc>
        <w:tc>
          <w:tcPr>
            <w:tcW w:w="839" w:type="dxa"/>
            <w:noWrap w:val="0"/>
            <w:vAlign w:val="top"/>
          </w:tcPr>
          <w:p w14:paraId="3AAD0D2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1</w:t>
            </w:r>
          </w:p>
        </w:tc>
        <w:tc>
          <w:tcPr>
            <w:tcW w:w="1775" w:type="dxa"/>
            <w:noWrap w:val="0"/>
            <w:vAlign w:val="top"/>
          </w:tcPr>
          <w:p w14:paraId="4D97563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2021.6</w:t>
            </w:r>
          </w:p>
        </w:tc>
        <w:tc>
          <w:tcPr>
            <w:tcW w:w="1775" w:type="dxa"/>
            <w:noWrap w:val="0"/>
            <w:vAlign w:val="top"/>
          </w:tcPr>
          <w:p w14:paraId="0E1E797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p>
        </w:tc>
      </w:tr>
      <w:tr w14:paraId="5988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5E59BC6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2</w:t>
            </w:r>
          </w:p>
        </w:tc>
        <w:tc>
          <w:tcPr>
            <w:tcW w:w="1590" w:type="dxa"/>
            <w:noWrap w:val="0"/>
            <w:vAlign w:val="top"/>
          </w:tcPr>
          <w:p w14:paraId="5B4DD97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20A147</w:t>
            </w:r>
          </w:p>
        </w:tc>
        <w:tc>
          <w:tcPr>
            <w:tcW w:w="1299" w:type="dxa"/>
            <w:noWrap w:val="0"/>
            <w:vAlign w:val="top"/>
          </w:tcPr>
          <w:p w14:paraId="020E1A9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eastAsia="zh-CN"/>
              </w:rPr>
            </w:pPr>
            <w:r>
              <w:rPr>
                <w:rFonts w:hint="eastAsia" w:asciiTheme="minorEastAsia" w:hAnsiTheme="minorEastAsia" w:eastAsiaTheme="minorEastAsia" w:cstheme="minorEastAsia"/>
                <w:b w:val="0"/>
                <w:bCs w:val="0"/>
                <w:color w:val="000000"/>
                <w:kern w:val="0"/>
                <w:sz w:val="24"/>
                <w:szCs w:val="24"/>
                <w:highlight w:val="none"/>
                <w:u w:val="none"/>
                <w:lang w:val="zh-CN" w:eastAsia="zh-CN"/>
              </w:rPr>
              <w:t>扬州帝申</w:t>
            </w:r>
          </w:p>
        </w:tc>
        <w:tc>
          <w:tcPr>
            <w:tcW w:w="1134" w:type="dxa"/>
            <w:noWrap w:val="0"/>
            <w:vAlign w:val="top"/>
          </w:tcPr>
          <w:p w14:paraId="3E71F5D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2/2</w:t>
            </w:r>
          </w:p>
        </w:tc>
        <w:tc>
          <w:tcPr>
            <w:tcW w:w="992" w:type="dxa"/>
            <w:noWrap w:val="0"/>
            <w:vAlign w:val="top"/>
          </w:tcPr>
          <w:p w14:paraId="41D2467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250</w:t>
            </w:r>
          </w:p>
        </w:tc>
        <w:tc>
          <w:tcPr>
            <w:tcW w:w="839" w:type="dxa"/>
            <w:noWrap w:val="0"/>
            <w:vAlign w:val="top"/>
          </w:tcPr>
          <w:p w14:paraId="71DB3CE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1</w:t>
            </w:r>
          </w:p>
        </w:tc>
        <w:tc>
          <w:tcPr>
            <w:tcW w:w="1775" w:type="dxa"/>
            <w:noWrap w:val="0"/>
            <w:vAlign w:val="top"/>
          </w:tcPr>
          <w:p w14:paraId="57EF68F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2021.6</w:t>
            </w:r>
          </w:p>
        </w:tc>
        <w:tc>
          <w:tcPr>
            <w:tcW w:w="1775" w:type="dxa"/>
            <w:noWrap w:val="0"/>
            <w:vAlign w:val="top"/>
          </w:tcPr>
          <w:p w14:paraId="4278F6E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p>
        </w:tc>
      </w:tr>
      <w:tr w14:paraId="57D5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20A7E26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3</w:t>
            </w:r>
          </w:p>
        </w:tc>
        <w:tc>
          <w:tcPr>
            <w:tcW w:w="1590" w:type="dxa"/>
            <w:noWrap w:val="0"/>
            <w:vAlign w:val="top"/>
          </w:tcPr>
          <w:p w14:paraId="4238F33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20A148</w:t>
            </w:r>
          </w:p>
        </w:tc>
        <w:tc>
          <w:tcPr>
            <w:tcW w:w="1299" w:type="dxa"/>
            <w:noWrap w:val="0"/>
            <w:vAlign w:val="top"/>
          </w:tcPr>
          <w:p w14:paraId="3E79EFA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eastAsia="zh-CN"/>
              </w:rPr>
            </w:pPr>
            <w:r>
              <w:rPr>
                <w:rFonts w:hint="eastAsia" w:asciiTheme="minorEastAsia" w:hAnsiTheme="minorEastAsia" w:eastAsiaTheme="minorEastAsia" w:cstheme="minorEastAsia"/>
                <w:b w:val="0"/>
                <w:bCs w:val="0"/>
                <w:color w:val="000000"/>
                <w:kern w:val="0"/>
                <w:sz w:val="24"/>
                <w:szCs w:val="24"/>
                <w:highlight w:val="none"/>
                <w:u w:val="none"/>
                <w:lang w:val="zh-CN" w:eastAsia="zh-CN"/>
              </w:rPr>
              <w:t>扬州帝申</w:t>
            </w:r>
          </w:p>
        </w:tc>
        <w:tc>
          <w:tcPr>
            <w:tcW w:w="1134" w:type="dxa"/>
            <w:noWrap w:val="0"/>
            <w:vAlign w:val="top"/>
          </w:tcPr>
          <w:p w14:paraId="65E2E5A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24/22</w:t>
            </w:r>
          </w:p>
        </w:tc>
        <w:tc>
          <w:tcPr>
            <w:tcW w:w="992" w:type="dxa"/>
            <w:noWrap w:val="0"/>
            <w:vAlign w:val="top"/>
          </w:tcPr>
          <w:p w14:paraId="0F63BED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250</w:t>
            </w:r>
          </w:p>
        </w:tc>
        <w:tc>
          <w:tcPr>
            <w:tcW w:w="839" w:type="dxa"/>
            <w:noWrap w:val="0"/>
            <w:vAlign w:val="top"/>
          </w:tcPr>
          <w:p w14:paraId="2895320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1</w:t>
            </w:r>
          </w:p>
        </w:tc>
        <w:tc>
          <w:tcPr>
            <w:tcW w:w="1775" w:type="dxa"/>
            <w:noWrap w:val="0"/>
            <w:vAlign w:val="top"/>
          </w:tcPr>
          <w:p w14:paraId="5A1252D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2021.6</w:t>
            </w:r>
          </w:p>
        </w:tc>
        <w:tc>
          <w:tcPr>
            <w:tcW w:w="1775" w:type="dxa"/>
            <w:noWrap w:val="0"/>
            <w:vAlign w:val="top"/>
          </w:tcPr>
          <w:p w14:paraId="41DBAA1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p>
        </w:tc>
      </w:tr>
      <w:tr w14:paraId="29EE3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659CFBC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4</w:t>
            </w:r>
          </w:p>
        </w:tc>
        <w:tc>
          <w:tcPr>
            <w:tcW w:w="1590" w:type="dxa"/>
            <w:noWrap w:val="0"/>
            <w:vAlign w:val="top"/>
          </w:tcPr>
          <w:p w14:paraId="685E93A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XODTD08113</w:t>
            </w:r>
          </w:p>
        </w:tc>
        <w:tc>
          <w:tcPr>
            <w:tcW w:w="1299" w:type="dxa"/>
            <w:noWrap w:val="0"/>
            <w:vAlign w:val="top"/>
          </w:tcPr>
          <w:p w14:paraId="7583B96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eastAsia="zh-CN"/>
              </w:rPr>
            </w:pPr>
            <w:r>
              <w:rPr>
                <w:rFonts w:hint="eastAsia" w:asciiTheme="minorEastAsia" w:hAnsiTheme="minorEastAsia" w:eastAsiaTheme="minorEastAsia" w:cstheme="minorEastAsia"/>
                <w:b w:val="0"/>
                <w:bCs w:val="0"/>
                <w:color w:val="000000"/>
                <w:kern w:val="0"/>
                <w:sz w:val="24"/>
                <w:szCs w:val="24"/>
                <w:highlight w:val="none"/>
                <w:u w:val="none"/>
                <w:lang w:val="zh-CN" w:eastAsia="zh-CN"/>
              </w:rPr>
              <w:t>杭州西奥</w:t>
            </w:r>
          </w:p>
        </w:tc>
        <w:tc>
          <w:tcPr>
            <w:tcW w:w="1134" w:type="dxa"/>
            <w:noWrap w:val="0"/>
            <w:vAlign w:val="top"/>
          </w:tcPr>
          <w:p w14:paraId="08D1901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2/2</w:t>
            </w:r>
          </w:p>
        </w:tc>
        <w:tc>
          <w:tcPr>
            <w:tcW w:w="992" w:type="dxa"/>
            <w:noWrap w:val="0"/>
            <w:vAlign w:val="top"/>
          </w:tcPr>
          <w:p w14:paraId="657C663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1350</w:t>
            </w:r>
          </w:p>
        </w:tc>
        <w:tc>
          <w:tcPr>
            <w:tcW w:w="839" w:type="dxa"/>
            <w:noWrap w:val="0"/>
            <w:vAlign w:val="top"/>
          </w:tcPr>
          <w:p w14:paraId="57F7F3F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1</w:t>
            </w:r>
          </w:p>
        </w:tc>
        <w:tc>
          <w:tcPr>
            <w:tcW w:w="1775" w:type="dxa"/>
            <w:noWrap w:val="0"/>
            <w:vAlign w:val="top"/>
          </w:tcPr>
          <w:p w14:paraId="76310D7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2021.6</w:t>
            </w:r>
          </w:p>
        </w:tc>
        <w:tc>
          <w:tcPr>
            <w:tcW w:w="1775" w:type="dxa"/>
            <w:noWrap w:val="0"/>
            <w:vAlign w:val="top"/>
          </w:tcPr>
          <w:p w14:paraId="5B74D0B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p>
        </w:tc>
      </w:tr>
      <w:tr w14:paraId="4162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8" w:type="dxa"/>
            <w:noWrap w:val="0"/>
            <w:vAlign w:val="top"/>
          </w:tcPr>
          <w:p w14:paraId="2AACD10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5</w:t>
            </w:r>
          </w:p>
        </w:tc>
        <w:tc>
          <w:tcPr>
            <w:tcW w:w="1590" w:type="dxa"/>
            <w:noWrap w:val="0"/>
            <w:vAlign w:val="top"/>
          </w:tcPr>
          <w:p w14:paraId="6C00D42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XODTD08114</w:t>
            </w:r>
          </w:p>
        </w:tc>
        <w:tc>
          <w:tcPr>
            <w:tcW w:w="1299" w:type="dxa"/>
            <w:noWrap w:val="0"/>
            <w:vAlign w:val="top"/>
          </w:tcPr>
          <w:p w14:paraId="3ED779D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eastAsia="zh-CN"/>
              </w:rPr>
            </w:pPr>
            <w:r>
              <w:rPr>
                <w:rFonts w:hint="eastAsia" w:asciiTheme="minorEastAsia" w:hAnsiTheme="minorEastAsia" w:eastAsiaTheme="minorEastAsia" w:cstheme="minorEastAsia"/>
                <w:b w:val="0"/>
                <w:bCs w:val="0"/>
                <w:color w:val="000000"/>
                <w:kern w:val="0"/>
                <w:sz w:val="24"/>
                <w:szCs w:val="24"/>
                <w:highlight w:val="none"/>
                <w:u w:val="none"/>
                <w:lang w:val="zh-CN" w:eastAsia="zh-CN"/>
              </w:rPr>
              <w:t>杭州西奥</w:t>
            </w:r>
          </w:p>
        </w:tc>
        <w:tc>
          <w:tcPr>
            <w:tcW w:w="1134" w:type="dxa"/>
            <w:noWrap w:val="0"/>
            <w:vAlign w:val="top"/>
          </w:tcPr>
          <w:p w14:paraId="4F230EA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2/2</w:t>
            </w:r>
          </w:p>
        </w:tc>
        <w:tc>
          <w:tcPr>
            <w:tcW w:w="992" w:type="dxa"/>
            <w:noWrap w:val="0"/>
            <w:vAlign w:val="top"/>
          </w:tcPr>
          <w:p w14:paraId="50EE604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1000</w:t>
            </w:r>
          </w:p>
        </w:tc>
        <w:tc>
          <w:tcPr>
            <w:tcW w:w="839" w:type="dxa"/>
            <w:noWrap w:val="0"/>
            <w:vAlign w:val="top"/>
          </w:tcPr>
          <w:p w14:paraId="1E45D19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1</w:t>
            </w:r>
          </w:p>
        </w:tc>
        <w:tc>
          <w:tcPr>
            <w:tcW w:w="1775" w:type="dxa"/>
            <w:noWrap w:val="0"/>
            <w:vAlign w:val="top"/>
          </w:tcPr>
          <w:p w14:paraId="7EE60D4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2021.6</w:t>
            </w:r>
          </w:p>
        </w:tc>
        <w:tc>
          <w:tcPr>
            <w:tcW w:w="1775" w:type="dxa"/>
            <w:noWrap w:val="0"/>
            <w:vAlign w:val="top"/>
          </w:tcPr>
          <w:p w14:paraId="0AF6B82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p>
        </w:tc>
      </w:tr>
    </w:tbl>
    <w:p w14:paraId="77A049F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eastAsia="zh-CN"/>
        </w:rPr>
      </w:pPr>
    </w:p>
    <w:p w14:paraId="6BD8274F">
      <w:pPr>
        <w:pStyle w:val="2"/>
        <w:ind w:left="0" w:leftChars="0" w:firstLine="0" w:firstLineChars="0"/>
        <w:rPr>
          <w:rFonts w:hint="default"/>
          <w:b/>
          <w:bCs/>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附件3：500元以上配件清单</w:t>
      </w:r>
    </w:p>
    <w:tbl>
      <w:tblPr>
        <w:tblStyle w:val="19"/>
        <w:tblW w:w="113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6"/>
        <w:gridCol w:w="3530"/>
        <w:gridCol w:w="861"/>
        <w:gridCol w:w="1716"/>
        <w:gridCol w:w="1435"/>
        <w:gridCol w:w="1476"/>
        <w:gridCol w:w="1233"/>
      </w:tblGrid>
      <w:tr w14:paraId="10CA0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58D31EB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序号</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330217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配件名称</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05F062C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单位</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320B367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单价限价（元）</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87F9D4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报价（元）</w:t>
            </w: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6332F45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发货周期</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26BA37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质保期</w:t>
            </w:r>
          </w:p>
        </w:tc>
      </w:tr>
      <w:tr w14:paraId="7F428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C8F40A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246A0DD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变频器MCA日立</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1359433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29664F9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18600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AACBCE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7C9C4A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B34E4F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4CD21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56F4177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84A4A9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西威变频器SIEI/AVY4220-EBLM1-C</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25D2C18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AC5727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12500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0CC3EBB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1CA4550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E2BC78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61C23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23D5F37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07B066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标准制动器 DZD1-653 DC110V</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2B3BA7A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5EC52FF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4200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831498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122507A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AD10EE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04F6E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1FC60F8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57C964C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五只小键盘</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4E85790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FD33B4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770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8A2BFF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12F8837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4870B1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4181F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2D93AB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18A08D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变频器扩展卡-EXP-E</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716560E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4AA7B50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875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449A32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042B86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6DA0EA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6E462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4FDC3C4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109CCD2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群控柜</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8F5451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0680DEF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19600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90CC85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3071638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D34852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1A0F4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363D2B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769D20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梯控装置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E6124C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4410B79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5561</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45F618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6FCA30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4093BA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0264B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111E6B5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8</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34AA970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限速器（一台）</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7D58603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37CC381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4360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3C714D3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D03F22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01781E3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516B6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3F68BEB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9</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129070C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变压器电源板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005CEAF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5B1B87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1785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2DC2CF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3BCF827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FF4F88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5875B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3E879E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10</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1AD5501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控制变压器</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C26EC8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6F4B2E7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7200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31BFCA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DF71E2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EBD2F9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0C049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5E19180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11</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32F1D9B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LCB2线路板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134C171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6840CE8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1875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69AD72E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7193813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37D523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15F72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21246CC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12</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C1B2EC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SCLB3板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ED061E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D36FC6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3200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6EE5C6D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389A9CC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88B6AE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490B2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BF60A6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13</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55DC4FB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BX-SCL-C5板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2C8EEAE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B6FA4B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1592</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6627448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334567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29364E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51FF8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133E927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14</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2365808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DSC-3A</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23A2AE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65DB5E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2625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617AFE5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601131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B6C170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401F8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5EA2C50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15</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D86099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MPU电子版</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9E93FA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481A3AB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7959</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3D8EEC1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3134122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CBC060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5C82C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4FB0F6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16</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30F5B8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CAIO板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AD697E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2C28ED1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4168</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1D53AC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79A93F5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E35084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3D9CA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1D16F05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17</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319A4EB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电子板DP03A04</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2CA53F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FB4DA3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780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2C9596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330621A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F3B64B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0CD6E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5E94700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18</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A1DFCD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电子板DP04A02</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D55E3F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2DFC08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1040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6E55D3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1AA0F8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1ACBAD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17774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592CA1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19</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095C78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光电位置检测器</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5C9D95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5125C1F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2919</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45F60F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3B38E6C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4234C4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384AA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3ED6BAB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20</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2BF5670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无机房松闸电源装置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1417A37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30A2ECB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4743</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E86CC1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5E23E68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C4D69C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223F6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0126A52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21</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0C8B993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曳引机编码器</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45F2DD7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2EDC5FC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4200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00ABD2C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41C693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30个工作日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0245CD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7B799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0816908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22</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6BE40A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AVR开关电源</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1A8A965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44A5316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2450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DDE3B3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39CE178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03E9A10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17608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05F14FA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23</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7C29C6F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控制柜插接件电路板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B5E69C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4F5492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4250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3BBBFF7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2431E2D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873C3C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1B9DB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34317B9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24</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FBD582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制动器组件</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08084BA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5D84EC2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800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F7087E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2158025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FFDF91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70744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4826496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25</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1E906AD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MAX 154 CEDES有源光幕</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4E0A53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04E8495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3800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41E7745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3E1AE0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6900127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35E35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02682B1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26</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22074A3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二合一安全触板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BDF04F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4D5BFB4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4200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8EC24D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7E2C937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0B1ACE7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1DF04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2518997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27</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052B173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轿顶通讯板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2B1A93C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394A5C2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3498</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0DF0E7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65F8865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74AF3C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5DA2C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25371C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28</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78027D2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轿顶检修装置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2EEFFD1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E245F7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1173</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95039E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12B9526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42426D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06DC0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178306D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29</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788E388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门机控制器</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2967735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CEC3AC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4200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4F7F14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18A07EB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84520B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6C8B2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43CADAE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30</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12A278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轿顶电源开关（HAA2132A）</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0449C2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665AF61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613</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D0603A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88048E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E1CDA1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6849C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3DC1D03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31</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792E256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轿门门电机</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2B4C8B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3DDA516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2458</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A78B31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1FE1939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0593BA4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2FEC5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3AA4433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32</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01DBF0E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轿门门电机编码器</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00A4E28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600F45D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3600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3B9BDB1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771B57D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E83566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235C8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598A1D4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33</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0E672C1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外招液晶显示板（日立）</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BE5B7A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46AA6D8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1260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97ED0A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2D1F1C1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0727CC4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4F516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1866CEC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34</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14ECFD6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液晶显示器（中文蓝色）</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B89F8E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59B12E3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855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3A44E4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270DC8B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CCD2C9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107D3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1F57A5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35</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1B34A4A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快速显示板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1F1AE6A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3938008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540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B60E51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6AE24F4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2A2470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47F4A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48AB8C8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36</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041584C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扩展板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0AB2601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0AD68F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1370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38690B1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3767809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07D98AF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55732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23C9122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37</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0D00DAB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通讯板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003C1B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4E2D08C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2660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9EC0FA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74FFE80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7BF02E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03D42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5C865C1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38</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877186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平层感应器（个）</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49D0587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1C3DF5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865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D491DA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1BFA1B2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6329F9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0F3D9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5B689C7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39</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36958BA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平层感应器隔板（一套）</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4BC8E2D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5B3C59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628</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E8178F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3B568B4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093BD99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676FA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23E0043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40</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3F9D09A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限速器钢丝绳Φ8mm</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B6B7B3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米</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0EE7200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32ADE77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0D72ED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8D7EB5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49768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1A577A9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41</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1940F49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曳引钢丝绳8X19S-Φ10(带预拉伸、麻芯)</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8C255D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米</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54A7405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2FB5C2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AAA3CE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69ABD71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27114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2664012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42</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289F58C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轿门门板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4E1DCE6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E33EDC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3920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BAB9DA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2FA50EA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EE1BB2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56919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143FEC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43</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7704778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厅门门板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0D61314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04CCB3A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4200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F81379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5968A8F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E6C907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5C3AA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30F129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44</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56E29D8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6.4英寸 STN-LCD显示器（通用AD33）</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7456F94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601FC87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520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3419DC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369DDF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040300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2DBA7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04EDA06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45</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2518D79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外招显示盒带板子（一套）</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7BF5A86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DECD71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2325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48E35F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5795896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B40A0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4C47F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2FB2F9C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46</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5119B8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轿厢地坎</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164933F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29CE07E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1200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E39733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C348CB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1912C8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26E97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55CE4BB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47</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52E356B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厅门地坎</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1D8462C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342C4A5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1600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0923971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389602F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4A1651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14547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3B0E165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48</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3FE3F36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右开轿厢地坎OP=1300</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58622D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393B056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692E401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348F2C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EFB32B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3DEE9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1C4AAF3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49</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C37170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右开铸铁厅门地坎XAA426M7</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7E4AC4B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238B200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1500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6A75978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958CA4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FD30DE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751A3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7121E7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50</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0172BC0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扁形补偿链</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4B9F974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米</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30899A1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49</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3549A97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64343DB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624A7E3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383DB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A5A797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51</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051037B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对重绳轮组件</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EBD62A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5838F3E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2250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2CAABD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701EE5E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2B7471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74F90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05D149B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52</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1C12D0A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对重反绳轮（个）</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06C9EAE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0B3EFB4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2400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21E07D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64FDC00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6C815A8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4714F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F39D57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53</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A80733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旁路声光报警装置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46A7CD5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40A1016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642</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46206BA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943B1B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23339F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33C5B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438B3C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54</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161CAFA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地坑涨紧轮（一套）</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11FBD8B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19CE2B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2321</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F8DBE9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211FDE5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47A3D4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2A736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03B3FB7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55</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37C5E64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地坑检修盒</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0014D90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2CC649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963</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0A7515C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51CC4C7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614785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3BC28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09D18A2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56</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C357EB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轿厢护脚板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4A02647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045F002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635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7A68C3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7ED0994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5F66C6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56333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2FA9D9B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57</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132162B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液压缓冲器</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4CEEFA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0088D62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2283</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6D15889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F344F4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AC550B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3F264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1CF4E85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58</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5811481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聚氨酯缓冲器</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B075B3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AA51C7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607</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4B5EE1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128233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AA7F94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1FF37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00FAC30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59</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281C147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对重块</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4B99B39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0FB1C39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市场钢材价</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3E0BE2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511517F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DDCA29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367C9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2BE4EB3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60</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3774D8B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对重护栏（一台）</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984E58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6E157DF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3150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15ECAA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60494E1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44FC1E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43FFB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3D1BED4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61</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7068D6E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补偿链导向装置（一套4个轮）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7C70977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D588F0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D4E7AF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3F99B4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451501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076A9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4B1E72D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62</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F29426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2.4m底坑爬梯</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2443FBD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6C84289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817</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7C0EEE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1060C76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9D35BA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20A39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DBB0AB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63</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210FEB0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五方对讲主机</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0C8A35B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69D71C5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3300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40E3AC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A19285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47C805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1A545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D5FEA5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64</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02B430B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五方对讲轿顶板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72097A5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3839166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3115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D4B5B9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08B2E3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C85824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291F3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473C640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65</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09B32DA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五方对讲主机后备电源</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754D7A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1F7ED5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589</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B1F8FE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5965931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A5ACEF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50846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481CE33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66</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FBA2B2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扶梯主驱动板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20965E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4B18273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10500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3E32A5B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1B0896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6762FED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7AB61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4FE6486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67</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709DE6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插件板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072159C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653695B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4150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051132A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516B1DB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994F6D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497F5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071A8B9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68</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1628301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梯级辅轮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4C513B8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27902A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70656A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1F61C27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0FE7286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1E43A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164976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69</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799B648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防攀爬装置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18DD4FB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3862CE8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610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BBC8B2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3804999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0E4220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15E71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6A7114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70</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5C7711B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不锈钢梯级</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08A0EEC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41D0D61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1135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665BA25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DCE22E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63DEE7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6D359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181ADF8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71</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7257741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扶手带</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88C132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米</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4535C82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125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9B0069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50CF492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665FACD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72D85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781072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72</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725E5C8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扶手带托轮组件</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47F6199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4AEA77F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935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3F3EDE8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2F3F73A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080E39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0E6E9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0206EB7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73</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0227242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主驱动链</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0ABDB01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503D10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3255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C32169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B1D87B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9578E7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66E07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8DB063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74</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3BDB2C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扶手带驱动链</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123B5BD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EB9522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2350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E0F385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203A6D0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0A3782C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2F687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DDBEC3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75</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1796A27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梯级缺失感应装置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781FFBC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5C3F0F0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560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7B89E1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1A3A3CA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425663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3B3D5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B080F3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76</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223A74C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扶手带测速装置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170BE88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5C0DC4B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1610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5A813B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5CBBC7C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E75CD0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36313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095202A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77</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356F59D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摩擦轮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1A32C94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3F7845B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1260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3B9D123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1DB446D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5077D7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4587C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41B2002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78</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08DB92A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短节距传动用精密滚子链和链轮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3FCAA9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按23节</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6224371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1794</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14:paraId="4D2FF60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38F3ECA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08333BA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48838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0F2782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79</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3EF6D1B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踏板XAA280Q9</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26DD04C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331F6ED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1600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BBE5A9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3117EAA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45F891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69948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475E22E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80</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116322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自动加油装置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2490D8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3D3B23A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3350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DB5F0D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5447D96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70432C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bl>
    <w:p w14:paraId="5F5D0A77">
      <w:pPr>
        <w:pStyle w:val="2"/>
        <w:rPr>
          <w:rFonts w:hint="default"/>
          <w:lang w:val="en-US" w:eastAsia="zh-CN"/>
        </w:rPr>
      </w:pPr>
    </w:p>
    <w:p w14:paraId="2098701B">
      <w:pPr>
        <w:spacing w:line="400" w:lineRule="exact"/>
        <w:rPr>
          <w:rFonts w:hint="eastAsia" w:asciiTheme="minorEastAsia" w:hAnsiTheme="minorEastAsia" w:eastAsiaTheme="minorEastAsia" w:cstheme="minorEastAsia"/>
          <w:b/>
          <w:bCs/>
          <w:sz w:val="24"/>
          <w:szCs w:val="24"/>
          <w:u w:val="none"/>
          <w:lang w:val="zh-CN"/>
        </w:rPr>
      </w:pPr>
      <w:r>
        <w:rPr>
          <w:rFonts w:hint="eastAsia" w:asciiTheme="minorEastAsia" w:hAnsiTheme="minorEastAsia" w:eastAsiaTheme="minorEastAsia" w:cstheme="minorEastAsia"/>
          <w:b/>
          <w:bCs/>
          <w:sz w:val="24"/>
          <w:szCs w:val="24"/>
          <w:u w:val="none"/>
        </w:rPr>
        <w:t>附件</w:t>
      </w:r>
      <w:r>
        <w:rPr>
          <w:rFonts w:hint="eastAsia" w:asciiTheme="minorEastAsia" w:hAnsiTheme="minorEastAsia" w:eastAsiaTheme="minorEastAsia" w:cstheme="minorEastAsia"/>
          <w:b/>
          <w:bCs/>
          <w:sz w:val="24"/>
          <w:szCs w:val="24"/>
          <w:u w:val="none"/>
          <w:lang w:val="en-US" w:eastAsia="zh-CN"/>
        </w:rPr>
        <w:t>4</w:t>
      </w:r>
      <w:r>
        <w:rPr>
          <w:rFonts w:hint="eastAsia" w:asciiTheme="minorEastAsia" w:hAnsiTheme="minorEastAsia" w:eastAsiaTheme="minorEastAsia" w:cstheme="minorEastAsia"/>
          <w:b/>
          <w:bCs/>
          <w:sz w:val="24"/>
          <w:szCs w:val="24"/>
          <w:u w:val="none"/>
        </w:rPr>
        <w:t xml:space="preserve">： </w:t>
      </w:r>
      <w:r>
        <w:rPr>
          <w:rFonts w:hint="eastAsia" w:asciiTheme="minorEastAsia" w:hAnsiTheme="minorEastAsia" w:eastAsiaTheme="minorEastAsia" w:cstheme="minorEastAsia"/>
          <w:b/>
          <w:bCs/>
          <w:sz w:val="24"/>
          <w:szCs w:val="24"/>
          <w:u w:val="none"/>
          <w:lang w:eastAsia="zh-CN"/>
        </w:rPr>
        <w:t>服务</w:t>
      </w:r>
      <w:r>
        <w:rPr>
          <w:rFonts w:hint="eastAsia" w:asciiTheme="minorEastAsia" w:hAnsiTheme="minorEastAsia" w:eastAsiaTheme="minorEastAsia" w:cstheme="minorEastAsia"/>
          <w:b/>
          <w:bCs/>
          <w:sz w:val="24"/>
          <w:szCs w:val="24"/>
          <w:u w:val="none"/>
        </w:rPr>
        <w:t>条款</w:t>
      </w:r>
      <w:r>
        <w:rPr>
          <w:rFonts w:hint="eastAsia" w:asciiTheme="minorEastAsia" w:hAnsiTheme="minorEastAsia" w:eastAsiaTheme="minorEastAsia" w:cstheme="minorEastAsia"/>
          <w:b/>
          <w:bCs/>
          <w:sz w:val="24"/>
          <w:szCs w:val="24"/>
          <w:u w:val="none"/>
          <w:lang w:val="zh-CN"/>
        </w:rPr>
        <w:t>偏离表格式</w:t>
      </w:r>
    </w:p>
    <w:p w14:paraId="131190B5">
      <w:pPr>
        <w:spacing w:line="400" w:lineRule="exact"/>
        <w:ind w:firstLine="3600" w:firstLineChars="15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服务条款偏离表</w:t>
      </w:r>
    </w:p>
    <w:tbl>
      <w:tblPr>
        <w:tblStyle w:val="19"/>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210027DD">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23E91B84">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项目名称：</w:t>
            </w:r>
          </w:p>
        </w:tc>
        <w:tc>
          <w:tcPr>
            <w:tcW w:w="4475" w:type="dxa"/>
            <w:gridSpan w:val="3"/>
            <w:tcBorders>
              <w:top w:val="nil"/>
              <w:left w:val="nil"/>
              <w:bottom w:val="single" w:color="auto" w:sz="6" w:space="0"/>
              <w:right w:val="nil"/>
            </w:tcBorders>
            <w:vAlign w:val="center"/>
          </w:tcPr>
          <w:p w14:paraId="272DBEDF">
            <w:pPr>
              <w:spacing w:line="400" w:lineRule="exact"/>
              <w:ind w:firstLine="0" w:firstLineChars="0"/>
              <w:rPr>
                <w:rFonts w:hint="eastAsia" w:asciiTheme="minorEastAsia" w:hAnsiTheme="minorEastAsia" w:eastAsiaTheme="minorEastAsia" w:cstheme="minorEastAsia"/>
                <w:b w:val="0"/>
                <w:bCs w:val="0"/>
                <w:kern w:val="0"/>
                <w:sz w:val="24"/>
                <w:szCs w:val="24"/>
                <w:u w:val="none"/>
                <w:lang w:val="zh-CN"/>
              </w:rPr>
            </w:pPr>
            <w:r>
              <w:rPr>
                <w:rFonts w:hint="eastAsia" w:asciiTheme="minorEastAsia" w:hAnsiTheme="minorEastAsia" w:eastAsiaTheme="minorEastAsia" w:cstheme="minorEastAsia"/>
                <w:b w:val="0"/>
                <w:bCs w:val="0"/>
                <w:kern w:val="0"/>
                <w:sz w:val="24"/>
                <w:szCs w:val="24"/>
                <w:u w:val="none"/>
                <w:lang w:val="zh-CN"/>
              </w:rPr>
              <w:t>项目编号：</w:t>
            </w:r>
            <w:r>
              <w:rPr>
                <w:rFonts w:hint="eastAsia" w:asciiTheme="minorEastAsia" w:hAnsiTheme="minorEastAsia" w:eastAsiaTheme="minorEastAsia" w:cstheme="minorEastAsia"/>
                <w:b w:val="0"/>
                <w:bCs w:val="0"/>
                <w:sz w:val="24"/>
                <w:szCs w:val="24"/>
                <w:u w:val="none"/>
                <w:lang w:val="zh-CN"/>
              </w:rPr>
              <w:t xml:space="preserve">              </w:t>
            </w:r>
          </w:p>
        </w:tc>
      </w:tr>
      <w:tr w14:paraId="0F77243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05FB44">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66851919">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1B20B32B">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0863F5A">
            <w:pPr>
              <w:spacing w:line="400" w:lineRule="exact"/>
              <w:ind w:firstLine="0" w:firstLineChars="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lang w:val="zh-CN"/>
              </w:rPr>
              <w:t>服务商响应</w:t>
            </w:r>
            <w:r>
              <w:rPr>
                <w:rFonts w:hint="eastAsia" w:asciiTheme="minorEastAsia" w:hAnsiTheme="minorEastAsia" w:eastAsiaTheme="minorEastAsia" w:cstheme="minorEastAsia"/>
                <w:b w:val="0"/>
                <w:bCs w:val="0"/>
                <w:sz w:val="24"/>
                <w:szCs w:val="24"/>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49394B84">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3612EF67">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证明材料对应页码</w:t>
            </w:r>
          </w:p>
        </w:tc>
      </w:tr>
      <w:tr w14:paraId="1CCA80F8">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8B493F0">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729C4F1A">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rPr>
              <w:t>服务标准及要求，请根据采购文件要求逐条列举并逐条响应，行数不够自行增加。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71938E61">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4CA1BD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89B0A0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EDBAEB8">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324E2FC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FC25F72">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7ED45879">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5325C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7DCF4AC">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2A338D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AC9299D">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01D733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C8B7A32">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0DDBC40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2FB2D4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9060C7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818DFC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D4D0DF6">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BF9263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4D96DC2">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2454531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2056B1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4EB40E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0263F74">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5D14F1">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7A36E1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03AC199">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1921F35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680DB5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86AB1A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02E3DD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90749B4">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10F1DCD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C3FB58">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308E2A4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8F887F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184BB9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C1E484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60C8C31B">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545055F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9B3065E">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5408163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548520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27FDCE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E49E475">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43CE16E0">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4C42EA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FE75E4">
            <w:pPr>
              <w:spacing w:line="400" w:lineRule="exact"/>
              <w:ind w:firstLine="560"/>
              <w:rPr>
                <w:rFonts w:hint="eastAsia" w:asciiTheme="minorEastAsia" w:hAnsiTheme="minorEastAsia" w:eastAsiaTheme="minorEastAsia" w:cstheme="minorEastAsia"/>
                <w:b w:val="0"/>
                <w:bCs w:val="0"/>
                <w:sz w:val="24"/>
                <w:szCs w:val="24"/>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44FD762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AAABD90">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3371FC5">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4CA95F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AE816EC">
            <w:pPr>
              <w:spacing w:line="400" w:lineRule="exact"/>
              <w:ind w:firstLine="560"/>
              <w:rPr>
                <w:rFonts w:hint="eastAsia" w:asciiTheme="minorEastAsia" w:hAnsiTheme="minorEastAsia" w:eastAsiaTheme="minorEastAsia" w:cstheme="minorEastAsia"/>
                <w:b w:val="0"/>
                <w:bCs w:val="0"/>
                <w:sz w:val="24"/>
                <w:szCs w:val="24"/>
                <w:u w:val="none"/>
                <w:lang w:val="zh-CN"/>
              </w:rPr>
            </w:pPr>
          </w:p>
        </w:tc>
      </w:tr>
    </w:tbl>
    <w:p w14:paraId="153FA5FA">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服务商名称（盖章）： </w:t>
      </w:r>
    </w:p>
    <w:p w14:paraId="45CF165A">
      <w:pPr>
        <w:spacing w:line="400" w:lineRule="exact"/>
        <w:ind w:firstLine="560"/>
        <w:rPr>
          <w:rFonts w:hint="default" w:asciiTheme="minorEastAsia" w:hAnsiTheme="minorEastAsia" w:eastAsiaTheme="minorEastAsia" w:cstheme="minorEastAsia"/>
          <w:b w:val="0"/>
          <w:bCs w:val="0"/>
          <w:sz w:val="24"/>
          <w:szCs w:val="24"/>
          <w:u w:val="single"/>
          <w:lang w:val="en-US" w:eastAsia="zh-CN"/>
        </w:rPr>
      </w:pPr>
      <w:r>
        <w:rPr>
          <w:rFonts w:hint="eastAsia" w:asciiTheme="minorEastAsia" w:hAnsiTheme="minorEastAsia" w:eastAsiaTheme="minorEastAsia" w:cstheme="minorEastAsia"/>
          <w:b w:val="0"/>
          <w:bCs w:val="0"/>
          <w:sz w:val="24"/>
          <w:szCs w:val="24"/>
          <w:u w:val="none"/>
          <w:lang w:val="zh-CN"/>
        </w:rPr>
        <w:t>说明：如果行数不够，请自行增加。请服务商对招标文件内的</w:t>
      </w:r>
      <w:r>
        <w:rPr>
          <w:rFonts w:hint="eastAsia" w:asciiTheme="minorEastAsia" w:hAnsiTheme="minorEastAsia" w:eastAsiaTheme="minorEastAsia" w:cstheme="minorEastAsia"/>
          <w:b w:val="0"/>
          <w:bCs w:val="0"/>
          <w:sz w:val="24"/>
          <w:szCs w:val="24"/>
          <w:u w:val="none"/>
          <w:lang w:val="en-US" w:eastAsia="zh-CN"/>
        </w:rPr>
        <w:t>服务</w:t>
      </w:r>
      <w:r>
        <w:rPr>
          <w:rFonts w:hint="eastAsia" w:asciiTheme="minorEastAsia" w:hAnsiTheme="minorEastAsia" w:eastAsiaTheme="minorEastAsia" w:cstheme="minorEastAsia"/>
          <w:b w:val="0"/>
          <w:bCs w:val="0"/>
          <w:sz w:val="24"/>
          <w:szCs w:val="24"/>
          <w:u w:val="none"/>
          <w:lang w:val="zh-CN"/>
        </w:rPr>
        <w:t>条款进行逐条响应</w:t>
      </w:r>
      <w:r>
        <w:rPr>
          <w:rFonts w:hint="eastAsia" w:asciiTheme="minorEastAsia" w:hAnsiTheme="minorEastAsia" w:eastAsiaTheme="minorEastAsia" w:cstheme="minorEastAsia"/>
          <w:b w:val="0"/>
          <w:bCs w:val="0"/>
          <w:sz w:val="24"/>
          <w:szCs w:val="24"/>
          <w:u w:val="none"/>
        </w:rPr>
        <w:t>/正偏离/负偏离，不得缺页漏项</w:t>
      </w:r>
      <w:r>
        <w:rPr>
          <w:rFonts w:hint="eastAsia" w:asciiTheme="minorEastAsia" w:hAnsiTheme="minorEastAsia" w:eastAsiaTheme="minorEastAsia" w:cstheme="minorEastAsia"/>
          <w:b w:val="0"/>
          <w:bCs w:val="0"/>
          <w:sz w:val="24"/>
          <w:szCs w:val="24"/>
          <w:u w:val="none"/>
          <w:lang w:val="zh-CN"/>
        </w:rPr>
        <w:t>。</w:t>
      </w:r>
      <w:r>
        <w:rPr>
          <w:rFonts w:hint="eastAsia" w:asciiTheme="minorEastAsia" w:hAnsiTheme="minorEastAsia" w:eastAsiaTheme="minorEastAsia" w:cstheme="minorEastAsia"/>
          <w:b w:val="0"/>
          <w:bCs w:val="0"/>
          <w:sz w:val="24"/>
          <w:szCs w:val="24"/>
          <w:u w:val="single"/>
          <w:lang w:val="en-US" w:eastAsia="zh-CN"/>
        </w:rPr>
        <w:t>如此表空白加盖公章视为全部响应。</w:t>
      </w:r>
    </w:p>
    <w:p w14:paraId="008D4FD9">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19CE51DC">
      <w:pPr>
        <w:pStyle w:val="24"/>
        <w:spacing w:line="400" w:lineRule="exact"/>
        <w:ind w:firstLine="482" w:firstLineChars="200"/>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rPr>
        <w:t>附件</w:t>
      </w: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商务</w:t>
      </w:r>
      <w:r>
        <w:rPr>
          <w:rFonts w:hint="eastAsia" w:asciiTheme="minorEastAsia" w:hAnsiTheme="minorEastAsia" w:eastAsiaTheme="minorEastAsia" w:cstheme="minorEastAsia"/>
          <w:b/>
          <w:bCs/>
          <w:sz w:val="24"/>
          <w:szCs w:val="24"/>
        </w:rPr>
        <w:t>条款</w:t>
      </w:r>
      <w:r>
        <w:rPr>
          <w:rFonts w:hint="eastAsia" w:asciiTheme="minorEastAsia" w:hAnsiTheme="minorEastAsia" w:eastAsiaTheme="minorEastAsia" w:cstheme="minorEastAsia"/>
          <w:b/>
          <w:bCs/>
          <w:sz w:val="24"/>
          <w:szCs w:val="24"/>
          <w:lang w:val="zh-CN"/>
        </w:rPr>
        <w:t>偏离表格式</w:t>
      </w:r>
    </w:p>
    <w:p w14:paraId="18E1A4C1">
      <w:pPr>
        <w:pStyle w:val="24"/>
        <w:spacing w:line="400" w:lineRule="exact"/>
        <w:rPr>
          <w:rFonts w:hint="eastAsia" w:asciiTheme="minorEastAsia" w:hAnsiTheme="minorEastAsia" w:eastAsiaTheme="minorEastAsia" w:cstheme="minorEastAsia"/>
          <w:sz w:val="24"/>
          <w:szCs w:val="24"/>
        </w:rPr>
      </w:pPr>
    </w:p>
    <w:p w14:paraId="16431DB4">
      <w:pPr>
        <w:spacing w:line="400" w:lineRule="exact"/>
        <w:ind w:firstLine="3600" w:firstLineChars="15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en-US" w:eastAsia="zh-CN"/>
        </w:rPr>
        <w:t>商务</w:t>
      </w:r>
      <w:r>
        <w:rPr>
          <w:rFonts w:hint="eastAsia" w:asciiTheme="minorEastAsia" w:hAnsiTheme="minorEastAsia" w:eastAsiaTheme="minorEastAsia" w:cstheme="minorEastAsia"/>
          <w:b w:val="0"/>
          <w:bCs w:val="0"/>
          <w:sz w:val="24"/>
          <w:szCs w:val="24"/>
          <w:u w:val="none"/>
          <w:lang w:val="zh-CN"/>
        </w:rPr>
        <w:t>条款偏离表</w:t>
      </w:r>
    </w:p>
    <w:tbl>
      <w:tblPr>
        <w:tblStyle w:val="19"/>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33109DC5">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0D84DA4D">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项目名称：</w:t>
            </w:r>
          </w:p>
        </w:tc>
        <w:tc>
          <w:tcPr>
            <w:tcW w:w="4475" w:type="dxa"/>
            <w:gridSpan w:val="3"/>
            <w:tcBorders>
              <w:top w:val="nil"/>
              <w:left w:val="nil"/>
              <w:bottom w:val="single" w:color="auto" w:sz="6" w:space="0"/>
              <w:right w:val="nil"/>
            </w:tcBorders>
            <w:vAlign w:val="center"/>
          </w:tcPr>
          <w:p w14:paraId="2A128B73">
            <w:pPr>
              <w:spacing w:line="400" w:lineRule="exact"/>
              <w:ind w:firstLine="0" w:firstLineChars="0"/>
              <w:rPr>
                <w:rFonts w:hint="eastAsia" w:asciiTheme="minorEastAsia" w:hAnsiTheme="minorEastAsia" w:eastAsiaTheme="minorEastAsia" w:cstheme="minorEastAsia"/>
                <w:b w:val="0"/>
                <w:bCs w:val="0"/>
                <w:kern w:val="0"/>
                <w:sz w:val="24"/>
                <w:szCs w:val="24"/>
                <w:u w:val="none"/>
                <w:lang w:val="zh-CN"/>
              </w:rPr>
            </w:pPr>
            <w:r>
              <w:rPr>
                <w:rFonts w:hint="eastAsia" w:asciiTheme="minorEastAsia" w:hAnsiTheme="minorEastAsia" w:eastAsiaTheme="minorEastAsia" w:cstheme="minorEastAsia"/>
                <w:b w:val="0"/>
                <w:bCs w:val="0"/>
                <w:kern w:val="0"/>
                <w:sz w:val="24"/>
                <w:szCs w:val="24"/>
                <w:u w:val="none"/>
                <w:lang w:val="zh-CN"/>
              </w:rPr>
              <w:t>项目编号：</w:t>
            </w:r>
            <w:r>
              <w:rPr>
                <w:rFonts w:hint="eastAsia" w:asciiTheme="minorEastAsia" w:hAnsiTheme="minorEastAsia" w:eastAsiaTheme="minorEastAsia" w:cstheme="minorEastAsia"/>
                <w:b w:val="0"/>
                <w:bCs w:val="0"/>
                <w:sz w:val="24"/>
                <w:szCs w:val="24"/>
                <w:u w:val="none"/>
                <w:lang w:val="zh-CN"/>
              </w:rPr>
              <w:t xml:space="preserve">              </w:t>
            </w:r>
          </w:p>
        </w:tc>
      </w:tr>
      <w:tr w14:paraId="42D529EA">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522151C">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3BEBB29E">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29425C99">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6D5689C9">
            <w:pPr>
              <w:spacing w:line="400" w:lineRule="exact"/>
              <w:ind w:firstLine="0" w:firstLineChars="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lang w:val="zh-CN"/>
              </w:rPr>
              <w:t>服务商响应</w:t>
            </w:r>
            <w:r>
              <w:rPr>
                <w:rFonts w:hint="eastAsia" w:asciiTheme="minorEastAsia" w:hAnsiTheme="minorEastAsia" w:eastAsiaTheme="minorEastAsia" w:cstheme="minorEastAsia"/>
                <w:b w:val="0"/>
                <w:bCs w:val="0"/>
                <w:sz w:val="24"/>
                <w:szCs w:val="24"/>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2163A18B">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63FE9670">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证明材料对应页码</w:t>
            </w:r>
          </w:p>
        </w:tc>
      </w:tr>
      <w:tr w14:paraId="338F59EA">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71197E">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6E586FA9">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en-US" w:eastAsia="zh-CN"/>
              </w:rPr>
              <w:t>商务</w:t>
            </w:r>
            <w:r>
              <w:rPr>
                <w:rFonts w:hint="eastAsia" w:asciiTheme="minorEastAsia" w:hAnsiTheme="minorEastAsia" w:eastAsiaTheme="minorEastAsia" w:cstheme="minorEastAsia"/>
                <w:b w:val="0"/>
                <w:bCs w:val="0"/>
                <w:sz w:val="24"/>
                <w:szCs w:val="24"/>
                <w:u w:val="none"/>
              </w:rPr>
              <w:t>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2F53717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69392C1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FF0C65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3B9A930E">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C6161DA">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49107D2B">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05FC60E1">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24D1942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2157C5C5">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5FD14D6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826A902">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3D33E96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E07304B">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109ED46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A238D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741BEDF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1DA3B9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339BCC77">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4C0235A3">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655987">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5D7E57C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022C6CF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CD22FF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287754E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DED7C65">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CD04083">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49A4A62C">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76303D9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C4CE4D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32EFA74">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52CE798A">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9DF2DA">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84B3A18">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B2D979E">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065B3694">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26DEB4A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762DE4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D21C43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0E8A36F">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703A3789">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5F080948">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1466FCB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1EB9F25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6B55D80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7E668719">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7371A066">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7A41FF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FF2C1F">
            <w:pPr>
              <w:spacing w:line="400" w:lineRule="exact"/>
              <w:ind w:firstLine="560"/>
              <w:rPr>
                <w:rFonts w:hint="eastAsia" w:asciiTheme="minorEastAsia" w:hAnsiTheme="minorEastAsia" w:eastAsiaTheme="minorEastAsia" w:cstheme="minorEastAsia"/>
                <w:b w:val="0"/>
                <w:bCs w:val="0"/>
                <w:sz w:val="24"/>
                <w:szCs w:val="24"/>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08D451CC">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7F2BD5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4F0549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73B941B0">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F5DBE50">
            <w:pPr>
              <w:spacing w:line="400" w:lineRule="exact"/>
              <w:ind w:firstLine="560"/>
              <w:rPr>
                <w:rFonts w:hint="eastAsia" w:asciiTheme="minorEastAsia" w:hAnsiTheme="minorEastAsia" w:eastAsiaTheme="minorEastAsia" w:cstheme="minorEastAsia"/>
                <w:b w:val="0"/>
                <w:bCs w:val="0"/>
                <w:sz w:val="24"/>
                <w:szCs w:val="24"/>
                <w:u w:val="none"/>
                <w:lang w:val="zh-CN"/>
              </w:rPr>
            </w:pPr>
          </w:p>
        </w:tc>
      </w:tr>
    </w:tbl>
    <w:p w14:paraId="6056685D">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服务商名称（盖章）： </w:t>
      </w:r>
    </w:p>
    <w:p w14:paraId="25B75424">
      <w:pPr>
        <w:spacing w:line="400" w:lineRule="exact"/>
        <w:ind w:firstLine="560"/>
        <w:rPr>
          <w:rFonts w:hint="eastAsia" w:asciiTheme="minorEastAsia" w:hAnsiTheme="minorEastAsia" w:eastAsiaTheme="minorEastAsia" w:cstheme="minorEastAsia"/>
          <w:b w:val="0"/>
          <w:bCs w:val="0"/>
          <w:color w:val="91ACE0" w:themeColor="accent1" w:themeTint="99"/>
          <w:sz w:val="24"/>
          <w:szCs w:val="24"/>
          <w:u w:val="none"/>
          <w:lang w:val="zh-CN"/>
          <w14:textFill>
            <w14:solidFill>
              <w14:schemeClr w14:val="accent1">
                <w14:lumMod w14:val="60000"/>
                <w14:lumOff w14:val="40000"/>
              </w14:schemeClr>
            </w14:solidFill>
          </w14:textFill>
        </w:rPr>
      </w:pPr>
      <w:r>
        <w:rPr>
          <w:rFonts w:hint="eastAsia" w:asciiTheme="minorEastAsia" w:hAnsiTheme="minorEastAsia" w:eastAsiaTheme="minorEastAsia" w:cstheme="minorEastAsia"/>
          <w:b w:val="0"/>
          <w:bCs w:val="0"/>
          <w:sz w:val="24"/>
          <w:szCs w:val="24"/>
          <w:u w:val="none"/>
          <w:lang w:val="zh-CN"/>
        </w:rPr>
        <w:t>说明：如果行数不够，请自行增加。请服务商对招标文件内的</w:t>
      </w:r>
      <w:r>
        <w:rPr>
          <w:rFonts w:hint="eastAsia" w:asciiTheme="minorEastAsia" w:hAnsiTheme="minorEastAsia" w:eastAsiaTheme="minorEastAsia" w:cstheme="minorEastAsia"/>
          <w:b w:val="0"/>
          <w:bCs w:val="0"/>
          <w:sz w:val="24"/>
          <w:szCs w:val="24"/>
          <w:u w:val="none"/>
          <w:lang w:val="en-US" w:eastAsia="zh-CN"/>
        </w:rPr>
        <w:t>商务</w:t>
      </w:r>
      <w:r>
        <w:rPr>
          <w:rFonts w:hint="eastAsia" w:asciiTheme="minorEastAsia" w:hAnsiTheme="minorEastAsia" w:eastAsiaTheme="minorEastAsia" w:cstheme="minorEastAsia"/>
          <w:b w:val="0"/>
          <w:bCs w:val="0"/>
          <w:sz w:val="24"/>
          <w:szCs w:val="24"/>
          <w:u w:val="none"/>
          <w:lang w:val="zh-CN"/>
        </w:rPr>
        <w:t>条款进行逐条响应</w:t>
      </w:r>
      <w:r>
        <w:rPr>
          <w:rFonts w:hint="eastAsia" w:asciiTheme="minorEastAsia" w:hAnsiTheme="minorEastAsia" w:eastAsiaTheme="minorEastAsia" w:cstheme="minorEastAsia"/>
          <w:b w:val="0"/>
          <w:bCs w:val="0"/>
          <w:sz w:val="24"/>
          <w:szCs w:val="24"/>
          <w:u w:val="none"/>
        </w:rPr>
        <w:t>/正偏离/负偏离，不得缺页漏项</w:t>
      </w:r>
      <w:r>
        <w:rPr>
          <w:rFonts w:hint="eastAsia" w:asciiTheme="minorEastAsia" w:hAnsiTheme="minorEastAsia" w:eastAsiaTheme="minorEastAsia" w:cstheme="minorEastAsia"/>
          <w:b w:val="0"/>
          <w:bCs w:val="0"/>
          <w:sz w:val="24"/>
          <w:szCs w:val="24"/>
          <w:u w:val="none"/>
          <w:lang w:val="zh-CN"/>
        </w:rPr>
        <w:t>。</w:t>
      </w:r>
      <w:r>
        <w:rPr>
          <w:rFonts w:hint="eastAsia" w:asciiTheme="minorEastAsia" w:hAnsiTheme="minorEastAsia" w:eastAsiaTheme="minorEastAsia" w:cstheme="minorEastAsia"/>
          <w:b w:val="0"/>
          <w:bCs w:val="0"/>
          <w:sz w:val="24"/>
          <w:szCs w:val="24"/>
          <w:u w:val="single"/>
          <w:lang w:val="en-US" w:eastAsia="zh-CN"/>
        </w:rPr>
        <w:t>如此表空白加盖公章视为全部响应。</w:t>
      </w:r>
    </w:p>
    <w:p w14:paraId="6823F4DF">
      <w:pPr>
        <w:pStyle w:val="24"/>
        <w:spacing w:line="400" w:lineRule="exact"/>
        <w:rPr>
          <w:rFonts w:hint="eastAsia" w:asciiTheme="minorEastAsia" w:hAnsiTheme="minorEastAsia" w:eastAsiaTheme="minorEastAsia" w:cstheme="minorEastAsia"/>
          <w:b w:val="0"/>
          <w:bCs w:val="0"/>
          <w:sz w:val="24"/>
          <w:szCs w:val="24"/>
          <w:u w:val="none"/>
          <w:lang w:val="en-US" w:eastAsia="zh-CN"/>
        </w:rPr>
      </w:pPr>
    </w:p>
    <w:p w14:paraId="2921F9FE">
      <w:pPr>
        <w:pStyle w:val="24"/>
        <w:spacing w:line="400" w:lineRule="exact"/>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bCs/>
          <w:sz w:val="24"/>
          <w:szCs w:val="24"/>
          <w:lang w:eastAsia="zh-CN"/>
        </w:rPr>
        <w:t>附件</w:t>
      </w: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val="0"/>
          <w:bCs w:val="0"/>
          <w:kern w:val="2"/>
          <w:sz w:val="24"/>
          <w:szCs w:val="24"/>
          <w:u w:val="none"/>
          <w:lang w:val="zh-CN" w:eastAsia="zh-CN" w:bidi="ar-SA"/>
        </w:rPr>
        <w:t>无重大违法记录声明格式</w:t>
      </w:r>
    </w:p>
    <w:p w14:paraId="40998352">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3DD11D7F">
      <w:pPr>
        <w:spacing w:line="400" w:lineRule="exact"/>
        <w:ind w:firstLine="3360" w:firstLineChars="1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无重大违法记录声明</w:t>
      </w:r>
    </w:p>
    <w:p w14:paraId="3483D879">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1BA4A9AF">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eastAsia="zh-CN"/>
        </w:rPr>
        <w:t>南京市溧水区人民医院</w:t>
      </w:r>
      <w:r>
        <w:rPr>
          <w:rFonts w:hint="eastAsia" w:asciiTheme="minorEastAsia" w:hAnsiTheme="minorEastAsia" w:eastAsiaTheme="minorEastAsia" w:cstheme="minorEastAsia"/>
          <w:b w:val="0"/>
          <w:bCs w:val="0"/>
          <w:sz w:val="24"/>
          <w:szCs w:val="24"/>
          <w:u w:val="none"/>
          <w:lang w:val="zh-CN"/>
        </w:rPr>
        <w:t>：</w:t>
      </w:r>
    </w:p>
    <w:p w14:paraId="4CB088F8">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我单位                                     （服务商名称）郑重声明：</w:t>
      </w:r>
    </w:p>
    <w:p w14:paraId="36ADB6E8">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参加政府采购活动前3年内在经营活动中        （在下划线上如实填写：有或没有）重大违法记录。</w:t>
      </w:r>
    </w:p>
    <w:p w14:paraId="5149225A">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（说明：政府采购法第二十二条第一款第五项所称重大违法记录，是指服务商因违法经营受到刑事处罚或者责令停产停业、吊销许可证或者执照、较大数额罚款等行政处罚。）</w:t>
      </w:r>
    </w:p>
    <w:p w14:paraId="5414DFFC">
      <w:pPr>
        <w:spacing w:line="400" w:lineRule="exact"/>
        <w:ind w:left="0" w:leftChars="0" w:firstLine="0" w:firstLineChars="0"/>
        <w:rPr>
          <w:rFonts w:hint="eastAsia" w:asciiTheme="minorEastAsia" w:hAnsiTheme="minorEastAsia" w:eastAsiaTheme="minorEastAsia" w:cstheme="minorEastAsia"/>
          <w:b w:val="0"/>
          <w:bCs w:val="0"/>
          <w:sz w:val="24"/>
          <w:szCs w:val="24"/>
          <w:u w:val="none"/>
          <w:lang w:val="zh-CN"/>
        </w:rPr>
      </w:pPr>
    </w:p>
    <w:p w14:paraId="247F1FDF">
      <w:pPr>
        <w:spacing w:line="400" w:lineRule="exact"/>
        <w:ind w:firstLine="5760" w:firstLineChars="2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声明人（公章）：</w:t>
      </w:r>
    </w:p>
    <w:p w14:paraId="7D029745">
      <w:pPr>
        <w:spacing w:line="400" w:lineRule="exact"/>
        <w:ind w:firstLine="5760" w:firstLineChars="2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日　　期：    年   月</w:t>
      </w:r>
      <w:r>
        <w:rPr>
          <w:rFonts w:hint="eastAsia" w:asciiTheme="minorEastAsia" w:hAnsiTheme="minorEastAsia" w:eastAsiaTheme="minorEastAsia" w:cstheme="minorEastAsia"/>
          <w:b w:val="0"/>
          <w:bCs w:val="0"/>
          <w:sz w:val="24"/>
          <w:szCs w:val="24"/>
          <w:u w:val="none"/>
          <w:lang w:val="en-US" w:eastAsia="zh-CN"/>
        </w:rPr>
        <w:t xml:space="preserve"> </w:t>
      </w:r>
      <w:r>
        <w:rPr>
          <w:rFonts w:hint="eastAsia" w:asciiTheme="minorEastAsia" w:hAnsiTheme="minorEastAsia" w:eastAsiaTheme="minorEastAsia" w:cstheme="minorEastAsia"/>
          <w:b w:val="0"/>
          <w:bCs w:val="0"/>
          <w:sz w:val="24"/>
          <w:szCs w:val="24"/>
          <w:u w:val="none"/>
          <w:lang w:val="zh-CN"/>
        </w:rPr>
        <w:t xml:space="preserve"> 日</w:t>
      </w:r>
    </w:p>
    <w:p w14:paraId="3C31121A">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3AAFE0C4">
      <w:pPr>
        <w:spacing w:line="400" w:lineRule="exact"/>
        <w:ind w:left="0" w:leftChars="0"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bCs/>
          <w:sz w:val="24"/>
          <w:szCs w:val="24"/>
          <w:u w:val="none"/>
          <w:lang w:val="zh-CN"/>
        </w:rPr>
        <w:t>附件</w:t>
      </w:r>
      <w:r>
        <w:rPr>
          <w:rFonts w:hint="eastAsia" w:asciiTheme="minorEastAsia" w:hAnsiTheme="minorEastAsia" w:eastAsiaTheme="minorEastAsia" w:cstheme="minorEastAsia"/>
          <w:b/>
          <w:bCs/>
          <w:sz w:val="24"/>
          <w:szCs w:val="24"/>
          <w:u w:val="none"/>
          <w:lang w:val="en-US" w:eastAsia="zh-CN"/>
        </w:rPr>
        <w:t>7</w:t>
      </w:r>
      <w:r>
        <w:rPr>
          <w:rFonts w:hint="eastAsia" w:asciiTheme="minorEastAsia" w:hAnsiTheme="minorEastAsia" w:eastAsiaTheme="minorEastAsia" w:cstheme="minorEastAsia"/>
          <w:b/>
          <w:bCs/>
          <w:sz w:val="24"/>
          <w:szCs w:val="24"/>
          <w:u w:val="none"/>
          <w:lang w:val="zh-CN"/>
        </w:rPr>
        <w:t>：</w:t>
      </w:r>
      <w:r>
        <w:rPr>
          <w:rFonts w:hint="eastAsia" w:asciiTheme="minorEastAsia" w:hAnsiTheme="minorEastAsia" w:eastAsiaTheme="minorEastAsia" w:cstheme="minorEastAsia"/>
          <w:b w:val="0"/>
          <w:bCs w:val="0"/>
          <w:sz w:val="24"/>
          <w:szCs w:val="24"/>
          <w:u w:val="none"/>
          <w:lang w:val="zh-CN"/>
        </w:rPr>
        <w:t>具备履行合同所必需的设备和专业技术能力的声明格式及证明材料</w:t>
      </w:r>
    </w:p>
    <w:p w14:paraId="53F5350A">
      <w:pPr>
        <w:spacing w:line="400" w:lineRule="exact"/>
        <w:ind w:left="0" w:leftChars="0" w:firstLine="480" w:firstLineChars="2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具备履行合同所必需的设备和专业技术能力的声明格式</w:t>
      </w:r>
    </w:p>
    <w:p w14:paraId="088A2A6C">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南京</w:t>
      </w:r>
      <w:r>
        <w:rPr>
          <w:rFonts w:hint="eastAsia" w:asciiTheme="minorEastAsia" w:hAnsiTheme="minorEastAsia" w:eastAsiaTheme="minorEastAsia" w:cstheme="minorEastAsia"/>
          <w:b w:val="0"/>
          <w:bCs w:val="0"/>
          <w:sz w:val="24"/>
          <w:szCs w:val="24"/>
          <w:u w:val="none"/>
          <w:lang w:val="zh-CN" w:eastAsia="zh-CN"/>
        </w:rPr>
        <w:t>市溧水区人民医院</w:t>
      </w:r>
      <w:r>
        <w:rPr>
          <w:rFonts w:hint="eastAsia" w:asciiTheme="minorEastAsia" w:hAnsiTheme="minorEastAsia" w:eastAsiaTheme="minorEastAsia" w:cstheme="minorEastAsia"/>
          <w:b w:val="0"/>
          <w:bCs w:val="0"/>
          <w:sz w:val="24"/>
          <w:szCs w:val="24"/>
          <w:u w:val="none"/>
          <w:lang w:val="zh-CN"/>
        </w:rPr>
        <w:t>：</w:t>
      </w:r>
    </w:p>
    <w:p w14:paraId="622A291B">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我单位                             （服务商名称）郑重声明：我公司具备履行本项采购合同所必需的设备和专业技术能力，为履行本项采购合同我单位具备如下主要设备和主要专业技术能力：</w:t>
      </w:r>
    </w:p>
    <w:p w14:paraId="637351A1">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主要设备有：                          。(提供照片)</w:t>
      </w:r>
    </w:p>
    <w:p w14:paraId="19E221F1">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主要专业技术能力有：                  。(若有)</w:t>
      </w:r>
    </w:p>
    <w:p w14:paraId="5E6F66E6">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28E380B4">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                                           声明人：（公章）</w:t>
      </w:r>
    </w:p>
    <w:p w14:paraId="291503BB">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                                      日  期：       年    月    日</w:t>
      </w:r>
    </w:p>
    <w:p w14:paraId="6ADD7C6F">
      <w:pPr>
        <w:pStyle w:val="24"/>
        <w:spacing w:line="4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br w:type="textWrapping"/>
      </w:r>
      <w:r>
        <w:rPr>
          <w:rFonts w:hint="eastAsia" w:asciiTheme="minorEastAsia" w:hAnsiTheme="minorEastAsia" w:eastAsiaTheme="minorEastAsia" w:cstheme="minorEastAsia"/>
          <w:b/>
          <w:bCs/>
          <w:sz w:val="24"/>
          <w:szCs w:val="24"/>
          <w:lang w:eastAsia="zh-CN"/>
        </w:rPr>
        <w:t>附件</w:t>
      </w:r>
      <w:r>
        <w:rPr>
          <w:rFonts w:hint="eastAsia" w:asciiTheme="minorEastAsia" w:hAnsiTheme="minorEastAsia" w:eastAsiaTheme="minorEastAsia" w:cstheme="minorEastAsia"/>
          <w:b/>
          <w:bCs/>
          <w:sz w:val="24"/>
          <w:szCs w:val="24"/>
          <w:lang w:val="en-US" w:eastAsia="zh-CN"/>
        </w:rPr>
        <w:t>8：业绩材料</w:t>
      </w:r>
    </w:p>
    <w:p w14:paraId="0869D0A8">
      <w:pPr>
        <w:pStyle w:val="24"/>
        <w:spacing w:line="400" w:lineRule="exact"/>
        <w:rPr>
          <w:rFonts w:hint="eastAsia" w:ascii="仿宋" w:hAnsi="仿宋" w:eastAsia="仿宋" w:cs="仿宋"/>
          <w:b/>
          <w:bCs/>
          <w:sz w:val="28"/>
          <w:szCs w:val="28"/>
        </w:rPr>
      </w:pPr>
    </w:p>
    <w:p w14:paraId="40BE35C1">
      <w:pPr>
        <w:pStyle w:val="24"/>
        <w:spacing w:line="400" w:lineRule="exact"/>
        <w:rPr>
          <w:rFonts w:hint="eastAsia" w:asciiTheme="minorEastAsia" w:hAnsiTheme="minorEastAsia" w:eastAsiaTheme="minorEastAsia" w:cstheme="minorEastAsia"/>
          <w:b/>
          <w:bCs/>
          <w:sz w:val="24"/>
          <w:szCs w:val="24"/>
          <w:lang w:val="en-US" w:eastAsia="zh-CN"/>
        </w:rPr>
      </w:pPr>
    </w:p>
    <w:p w14:paraId="2E906445">
      <w:pPr>
        <w:pStyle w:val="24"/>
        <w:spacing w:line="400" w:lineRule="exact"/>
        <w:rPr>
          <w:rFonts w:hint="eastAsia" w:asciiTheme="minorEastAsia" w:hAnsiTheme="minorEastAsia" w:eastAsiaTheme="minorEastAsia" w:cstheme="minorEastAsia"/>
          <w:b/>
          <w:bCs/>
          <w:sz w:val="24"/>
          <w:szCs w:val="24"/>
          <w:lang w:val="en-US" w:eastAsia="zh-CN"/>
        </w:rPr>
      </w:pPr>
    </w:p>
    <w:p w14:paraId="4D66C604">
      <w:pPr>
        <w:pStyle w:val="24"/>
        <w:spacing w:line="4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附件9：</w:t>
      </w:r>
    </w:p>
    <w:p w14:paraId="20F5B1FD">
      <w:pPr>
        <w:pStyle w:val="24"/>
        <w:spacing w:line="400" w:lineRule="exact"/>
        <w:ind w:firstLine="1405" w:firstLineChars="5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南京市政府采购供应商信用记录表暨信用承诺书</w:t>
      </w:r>
    </w:p>
    <w:p w14:paraId="3CBB113D">
      <w:pPr>
        <w:spacing w:line="500" w:lineRule="exact"/>
        <w:ind w:firstLine="0" w:firstLineChars="0"/>
        <w:jc w:val="center"/>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lang w:val="en-US" w:eastAsia="zh-CN"/>
        </w:rPr>
        <w:t xml:space="preserve">                                                       </w:t>
      </w:r>
      <w:r>
        <w:rPr>
          <w:rFonts w:hint="eastAsia" w:ascii="Times New Roman" w:hAnsi="Calibri" w:eastAsia="宋体" w:cs="Times New Roman"/>
          <w:b w:val="0"/>
          <w:bCs/>
          <w:color w:val="000000"/>
          <w:sz w:val="21"/>
          <w:szCs w:val="24"/>
          <w:u w:val="none"/>
        </w:rPr>
        <w:t>年月日</w:t>
      </w:r>
    </w:p>
    <w:tbl>
      <w:tblPr>
        <w:tblStyle w:val="19"/>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1984"/>
        <w:gridCol w:w="2682"/>
      </w:tblGrid>
      <w:tr w14:paraId="723B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081EBADD">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单位名称</w:t>
            </w:r>
          </w:p>
        </w:tc>
        <w:tc>
          <w:tcPr>
            <w:tcW w:w="3402" w:type="dxa"/>
            <w:noWrap w:val="0"/>
            <w:vAlign w:val="top"/>
          </w:tcPr>
          <w:p w14:paraId="73312122">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46F04AA3">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统一社会信用代码</w:t>
            </w:r>
          </w:p>
        </w:tc>
        <w:tc>
          <w:tcPr>
            <w:tcW w:w="2682" w:type="dxa"/>
            <w:noWrap w:val="0"/>
            <w:vAlign w:val="top"/>
          </w:tcPr>
          <w:p w14:paraId="455B3825">
            <w:pPr>
              <w:spacing w:line="360" w:lineRule="auto"/>
              <w:ind w:firstLine="0" w:firstLineChars="0"/>
              <w:jc w:val="left"/>
              <w:rPr>
                <w:rFonts w:ascii="Times New Roman" w:hAnsi="Calibri" w:eastAsia="宋体" w:cs="Times New Roman"/>
                <w:b/>
                <w:bCs/>
                <w:color w:val="000000"/>
                <w:sz w:val="21"/>
                <w:szCs w:val="24"/>
                <w:u w:val="none"/>
              </w:rPr>
            </w:pPr>
          </w:p>
        </w:tc>
      </w:tr>
      <w:tr w14:paraId="6844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69476CF3">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法定代表人</w:t>
            </w:r>
          </w:p>
        </w:tc>
        <w:tc>
          <w:tcPr>
            <w:tcW w:w="3402" w:type="dxa"/>
            <w:noWrap w:val="0"/>
            <w:vAlign w:val="top"/>
          </w:tcPr>
          <w:p w14:paraId="4DE98A1E">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1A8BD5A6">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联系人</w:t>
            </w:r>
          </w:p>
        </w:tc>
        <w:tc>
          <w:tcPr>
            <w:tcW w:w="2682" w:type="dxa"/>
            <w:noWrap w:val="0"/>
            <w:vAlign w:val="top"/>
          </w:tcPr>
          <w:p w14:paraId="0693727A">
            <w:pPr>
              <w:spacing w:line="360" w:lineRule="auto"/>
              <w:ind w:firstLine="0" w:firstLineChars="0"/>
              <w:jc w:val="left"/>
              <w:rPr>
                <w:rFonts w:ascii="Times New Roman" w:hAnsi="Calibri" w:eastAsia="宋体" w:cs="Times New Roman"/>
                <w:b/>
                <w:bCs/>
                <w:color w:val="000000"/>
                <w:sz w:val="21"/>
                <w:szCs w:val="24"/>
                <w:u w:val="none"/>
              </w:rPr>
            </w:pPr>
          </w:p>
        </w:tc>
      </w:tr>
      <w:tr w14:paraId="5C17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46E41DF9">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联系地址</w:t>
            </w:r>
          </w:p>
        </w:tc>
        <w:tc>
          <w:tcPr>
            <w:tcW w:w="3402" w:type="dxa"/>
            <w:noWrap w:val="0"/>
            <w:vAlign w:val="top"/>
          </w:tcPr>
          <w:p w14:paraId="4E1AE011">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2E140E2C">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联系电话</w:t>
            </w:r>
          </w:p>
        </w:tc>
        <w:tc>
          <w:tcPr>
            <w:tcW w:w="2682" w:type="dxa"/>
            <w:noWrap w:val="0"/>
            <w:vAlign w:val="top"/>
          </w:tcPr>
          <w:p w14:paraId="4177C36D">
            <w:pPr>
              <w:spacing w:line="360" w:lineRule="auto"/>
              <w:ind w:firstLine="0" w:firstLineChars="0"/>
              <w:jc w:val="left"/>
              <w:rPr>
                <w:rFonts w:ascii="Times New Roman" w:hAnsi="Calibri" w:eastAsia="宋体" w:cs="Times New Roman"/>
                <w:b/>
                <w:bCs/>
                <w:color w:val="000000"/>
                <w:sz w:val="21"/>
                <w:szCs w:val="24"/>
                <w:u w:val="none"/>
              </w:rPr>
            </w:pPr>
          </w:p>
        </w:tc>
      </w:tr>
      <w:tr w14:paraId="2051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490BE817">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信用得分</w:t>
            </w:r>
          </w:p>
        </w:tc>
        <w:tc>
          <w:tcPr>
            <w:tcW w:w="3402" w:type="dxa"/>
            <w:noWrap w:val="0"/>
            <w:vAlign w:val="top"/>
          </w:tcPr>
          <w:p w14:paraId="4413C812">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1E2CE764">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星级</w:t>
            </w:r>
          </w:p>
        </w:tc>
        <w:tc>
          <w:tcPr>
            <w:tcW w:w="2682" w:type="dxa"/>
            <w:noWrap w:val="0"/>
            <w:vAlign w:val="top"/>
          </w:tcPr>
          <w:p w14:paraId="0E181284">
            <w:pPr>
              <w:spacing w:line="360" w:lineRule="auto"/>
              <w:ind w:firstLine="0" w:firstLineChars="0"/>
              <w:jc w:val="left"/>
              <w:rPr>
                <w:rFonts w:ascii="Times New Roman" w:hAnsi="Calibri" w:eastAsia="宋体" w:cs="Times New Roman"/>
                <w:b/>
                <w:bCs/>
                <w:color w:val="000000"/>
                <w:sz w:val="21"/>
                <w:szCs w:val="24"/>
                <w:u w:val="none"/>
              </w:rPr>
            </w:pPr>
          </w:p>
        </w:tc>
      </w:tr>
      <w:tr w14:paraId="2560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668" w:type="dxa"/>
            <w:noWrap w:val="0"/>
            <w:vAlign w:val="top"/>
          </w:tcPr>
          <w:p w14:paraId="18427D0B">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诚信档案记录情况</w:t>
            </w:r>
          </w:p>
        </w:tc>
        <w:tc>
          <w:tcPr>
            <w:tcW w:w="8068" w:type="dxa"/>
            <w:gridSpan w:val="3"/>
            <w:noWrap w:val="0"/>
            <w:vAlign w:val="top"/>
          </w:tcPr>
          <w:p w14:paraId="52A810E6">
            <w:pPr>
              <w:spacing w:line="360" w:lineRule="auto"/>
              <w:ind w:firstLine="0" w:firstLineChars="0"/>
              <w:jc w:val="left"/>
              <w:rPr>
                <w:rFonts w:ascii="Times New Roman" w:hAnsi="Calibri" w:eastAsia="宋体" w:cs="Times New Roman"/>
                <w:b/>
                <w:bCs/>
                <w:color w:val="000000"/>
                <w:sz w:val="21"/>
                <w:szCs w:val="24"/>
                <w:u w:val="none"/>
              </w:rPr>
            </w:pPr>
          </w:p>
        </w:tc>
      </w:tr>
      <w:tr w14:paraId="3F40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noWrap w:val="0"/>
            <w:vAlign w:val="top"/>
          </w:tcPr>
          <w:p w14:paraId="5CDE7BF2">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信用承诺</w:t>
            </w:r>
          </w:p>
        </w:tc>
        <w:tc>
          <w:tcPr>
            <w:tcW w:w="8068" w:type="dxa"/>
            <w:gridSpan w:val="3"/>
            <w:noWrap w:val="0"/>
            <w:vAlign w:val="top"/>
          </w:tcPr>
          <w:p w14:paraId="54A7D190">
            <w:pPr>
              <w:spacing w:line="360" w:lineRule="auto"/>
              <w:ind w:firstLine="420" w:firstLineChars="20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我公司自愿参加江苏海外集团国际工程咨询有限公司组织的本次采购活动，严格遵守《</w:t>
            </w:r>
            <w:r>
              <w:rPr>
                <w:rFonts w:ascii="Times New Roman" w:hAnsi="Calibri" w:eastAsia="宋体" w:cs="Times New Roman"/>
                <w:b w:val="0"/>
                <w:bCs/>
                <w:color w:val="000000"/>
                <w:sz w:val="21"/>
                <w:szCs w:val="24"/>
                <w:u w:val="none"/>
              </w:rPr>
              <w:t>中华人民共和国</w:t>
            </w:r>
            <w:r>
              <w:rPr>
                <w:rFonts w:ascii="Times New Roman" w:hAnsi="Calibri" w:eastAsia="宋体" w:cs="Times New Roman"/>
                <w:b w:val="0"/>
                <w:bCs w:val="0"/>
                <w:color w:val="000000"/>
                <w:sz w:val="21"/>
                <w:szCs w:val="24"/>
                <w:u w:val="none"/>
              </w:rPr>
              <w:t>政府采购法</w:t>
            </w:r>
            <w:r>
              <w:rPr>
                <w:rFonts w:hint="eastAsia" w:ascii="Times New Roman" w:hAnsi="Calibri" w:eastAsia="宋体" w:cs="Times New Roman"/>
                <w:b w:val="0"/>
                <w:bCs/>
                <w:color w:val="000000"/>
                <w:sz w:val="21"/>
                <w:szCs w:val="24"/>
                <w:u w:val="none"/>
              </w:rPr>
              <w:t>》及相关法律法规，坚守公开、公平、公证、诚实信用的原则，已发诚信经营，无条件遵守本次政府采购活动的各项规定。</w:t>
            </w:r>
          </w:p>
          <w:p w14:paraId="0BBD2CB7">
            <w:pPr>
              <w:spacing w:line="360" w:lineRule="auto"/>
              <w:ind w:firstLine="420" w:firstLineChars="20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70D1022B">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供应商名称（盖章）：</w:t>
            </w:r>
          </w:p>
          <w:p w14:paraId="77943F6F">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法定代表人（签字）：</w:t>
            </w:r>
          </w:p>
          <w:p w14:paraId="6EFF9B3C">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年月日</w:t>
            </w:r>
          </w:p>
        </w:tc>
      </w:tr>
    </w:tbl>
    <w:p w14:paraId="5701EEE6">
      <w:pPr>
        <w:spacing w:line="240" w:lineRule="auto"/>
        <w:ind w:firstLine="315" w:firstLineChars="15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投标）文件截止日2天前办理登记注册手续。</w:t>
      </w:r>
    </w:p>
    <w:p w14:paraId="61005E3B">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供应商申请网上注册的，应当按以下程序进行： </w:t>
      </w:r>
    </w:p>
    <w:p w14:paraId="747489FD">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（1）登陆“信用南京”或“南京市政府采购网”网站，点击“政府采购供应商诚信档案”图标，在弹出的用户登录界面，点击“新用户注册”；</w:t>
      </w:r>
    </w:p>
    <w:p w14:paraId="3E66DA86">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14:paraId="57CC2827">
      <w:pPr>
        <w:spacing w:line="240" w:lineRule="auto"/>
        <w:ind w:firstLine="0" w:firstLineChars="0"/>
        <w:rPr>
          <w:rFonts w:hint="default"/>
          <w:lang w:val="en-US" w:eastAsia="zh-CN"/>
        </w:rPr>
      </w:pPr>
      <w:r>
        <w:rPr>
          <w:rFonts w:hint="eastAsia" w:ascii="Calibri" w:hAnsi="宋体" w:eastAsia="宋体" w:cs="Times New Roman"/>
          <w:b w:val="0"/>
          <w:bCs/>
          <w:color w:val="000000"/>
          <w:sz w:val="21"/>
          <w:szCs w:val="24"/>
          <w:u w:val="none"/>
        </w:rPr>
        <w:t>注册成功后，供应商参加本次政府采购活动时，在采购文件发布之日起至递交响应文件截止日前，应先登录“信用南京”在线打印其“南京市政府采购供应商信用记录表”，经法定代表人签名盖章后作为响应文件的组成部分“南京市政府采购供应商信用记录表”是其参加本次政府采购活动的必备材料。</w:t>
      </w:r>
    </w:p>
    <w:p w14:paraId="0D4904FC">
      <w:pPr>
        <w:spacing w:line="400" w:lineRule="exact"/>
        <w:ind w:left="0" w:leftChars="0" w:firstLine="560" w:firstLineChars="200"/>
        <w:rPr>
          <w:rFonts w:hint="default" w:cs="仿宋"/>
          <w:b w:val="0"/>
          <w:bCs w:val="0"/>
          <w:u w:val="none"/>
          <w:lang w:val="en-US" w:eastAsia="zh-CN"/>
        </w:rPr>
      </w:pPr>
    </w:p>
    <w:p w14:paraId="3FDEE506">
      <w:pPr>
        <w:spacing w:line="400" w:lineRule="exact"/>
        <w:ind w:left="0" w:leftChars="0" w:firstLine="560" w:firstLineChars="200"/>
        <w:rPr>
          <w:rFonts w:hint="default" w:cs="仿宋"/>
          <w:b w:val="0"/>
          <w:bCs w:val="0"/>
          <w:u w:val="none"/>
          <w:lang w:val="en-US" w:eastAsia="zh-CN"/>
        </w:rPr>
      </w:pPr>
    </w:p>
    <w:p w14:paraId="10FE62C6">
      <w:pPr>
        <w:spacing w:line="400" w:lineRule="exact"/>
        <w:ind w:left="0" w:leftChars="0" w:firstLine="560" w:firstLineChars="200"/>
        <w:rPr>
          <w:rFonts w:hint="default" w:cs="仿宋"/>
          <w:b w:val="0"/>
          <w:bCs w:val="0"/>
          <w:u w:val="none"/>
          <w:lang w:val="en-US" w:eastAsia="zh-CN"/>
        </w:rPr>
      </w:pPr>
    </w:p>
    <w:p w14:paraId="547C2B77">
      <w:pPr>
        <w:keepNext w:val="0"/>
        <w:keepLines w:val="0"/>
        <w:pageBreakBefore w:val="0"/>
        <w:widowControl w:val="0"/>
        <w:kinsoku/>
        <w:wordWrap/>
        <w:overflowPunct/>
        <w:topLinePunct w:val="0"/>
        <w:autoSpaceDE/>
        <w:autoSpaceDN/>
        <w:bidi w:val="0"/>
        <w:adjustRightInd/>
        <w:snapToGrid/>
        <w:spacing w:line="360" w:lineRule="auto"/>
        <w:ind w:firstLine="3855" w:firstLineChars="1200"/>
        <w:textAlignment w:val="auto"/>
        <w:rPr>
          <w:rFonts w:hint="eastAsia" w:asciiTheme="minorEastAsia" w:hAnsiTheme="minorEastAsia" w:eastAsiaTheme="minorEastAsia" w:cstheme="minorEastAsia"/>
          <w:b/>
          <w:bCs/>
          <w:sz w:val="32"/>
          <w:szCs w:val="32"/>
          <w:u w:val="none"/>
          <w:lang w:val="zh-CN"/>
        </w:rPr>
      </w:pPr>
      <w:r>
        <w:rPr>
          <w:rFonts w:hint="eastAsia" w:asciiTheme="minorEastAsia" w:hAnsiTheme="minorEastAsia" w:eastAsiaTheme="minorEastAsia" w:cstheme="minorEastAsia"/>
          <w:b/>
          <w:bCs/>
          <w:sz w:val="32"/>
          <w:szCs w:val="32"/>
          <w:u w:val="none"/>
          <w:lang w:val="zh-CN"/>
        </w:rPr>
        <w:t>风险提示函</w:t>
      </w:r>
    </w:p>
    <w:p w14:paraId="0626F541">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30"/>
          <w:szCs w:val="30"/>
          <w:u w:val="none"/>
          <w:lang w:val="zh-CN"/>
        </w:rPr>
        <w:t>根据近期审计、巡查的情况，按照«中华人民共和国政府采购法实施条例»第十八条单位负责人为同一人或者存在直接控股、管理关系的不同供应商，不得参加同一合同项下的政府采购活动。各投标人应高度重视，单位负责人为同一人，以及与其公司有同一控股关系、股权伙伴关系的公司，不得参与同一合同项目的投标，否则有围标、串标之嫌疑，其风险自行承担。</w:t>
      </w:r>
    </w:p>
    <w:p w14:paraId="389D15F6">
      <w:pPr>
        <w:spacing w:line="400" w:lineRule="exact"/>
        <w:rPr>
          <w:rFonts w:hint="default" w:cs="仿宋"/>
          <w:b w:val="0"/>
          <w:bCs w:val="0"/>
          <w:u w:val="none"/>
          <w:lang w:val="en-US" w:eastAsia="zh-CN"/>
        </w:rPr>
      </w:pPr>
    </w:p>
    <w:sectPr>
      <w:headerReference r:id="rId5" w:type="default"/>
      <w:footerReference r:id="rId6" w:type="default"/>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C9C">
    <w:pPr>
      <w:pStyle w:val="14"/>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1EF6">
                          <w:pPr>
                            <w:pStyle w:val="14"/>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4A1EF6">
                    <w:pPr>
                      <w:pStyle w:val="14"/>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91A2F">
    <w:pPr>
      <w:pStyle w:val="15"/>
      <w:pBdr>
        <w:bottom w:val="single" w:color="auto" w:sz="4" w:space="1"/>
      </w:pBdr>
      <w:ind w:left="0" w:leftChars="0" w:firstLine="3360" w:firstLineChars="1400"/>
      <w:jc w:val="both"/>
      <w:rPr>
        <w:rFonts w:hint="default" w:eastAsia="仿宋"/>
        <w:b w:val="0"/>
        <w:bCs w:val="0"/>
        <w:sz w:val="24"/>
        <w:szCs w:val="24"/>
        <w:u w:val="none"/>
        <w:lang w:val="en-US" w:eastAsia="zh-CN"/>
      </w:rPr>
    </w:pPr>
    <w:r>
      <w:rPr>
        <w:rFonts w:hint="eastAsia"/>
        <w:b w:val="0"/>
        <w:bCs w:val="0"/>
        <w:sz w:val="24"/>
        <w:szCs w:val="24"/>
        <w:u w:val="none"/>
        <w:lang w:val="en-US" w:eastAsia="zh-CN"/>
      </w:rPr>
      <w:t>南京市溧水区人民医院询价采购文件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AB525"/>
    <w:multiLevelType w:val="singleLevel"/>
    <w:tmpl w:val="954AB525"/>
    <w:lvl w:ilvl="0" w:tentative="0">
      <w:start w:val="1"/>
      <w:numFmt w:val="chineseCounting"/>
      <w:suff w:val="space"/>
      <w:lvlText w:val="第%1部分"/>
      <w:lvlJc w:val="left"/>
      <w:rPr>
        <w:rFonts w:hint="eastAsia"/>
      </w:rPr>
    </w:lvl>
  </w:abstractNum>
  <w:abstractNum w:abstractNumId="1">
    <w:nsid w:val="C9DC4127"/>
    <w:multiLevelType w:val="singleLevel"/>
    <w:tmpl w:val="C9DC4127"/>
    <w:lvl w:ilvl="0" w:tentative="0">
      <w:start w:val="1"/>
      <w:numFmt w:val="bullet"/>
      <w:pStyle w:val="12"/>
      <w:lvlText w:val=""/>
      <w:lvlJc w:val="left"/>
      <w:pPr>
        <w:tabs>
          <w:tab w:val="left" w:pos="780"/>
        </w:tabs>
        <w:ind w:left="780" w:hanging="360"/>
      </w:pPr>
      <w:rPr>
        <w:rFonts w:hint="default" w:ascii="Wingdings" w:hAnsi="Wingdings"/>
      </w:r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3566404D"/>
    <w:multiLevelType w:val="multilevel"/>
    <w:tmpl w:val="3566404D"/>
    <w:lvl w:ilvl="0" w:tentative="0">
      <w:start w:val="5"/>
      <w:numFmt w:val="japaneseCounting"/>
      <w:pStyle w:val="4"/>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37072E"/>
    <w:rsid w:val="005624DF"/>
    <w:rsid w:val="00652736"/>
    <w:rsid w:val="0069410C"/>
    <w:rsid w:val="006A4C8B"/>
    <w:rsid w:val="006F3B5B"/>
    <w:rsid w:val="00747428"/>
    <w:rsid w:val="007541A3"/>
    <w:rsid w:val="007E2AE7"/>
    <w:rsid w:val="00955E28"/>
    <w:rsid w:val="009877E0"/>
    <w:rsid w:val="00A81A52"/>
    <w:rsid w:val="00AE403B"/>
    <w:rsid w:val="00B90BFD"/>
    <w:rsid w:val="00DA1880"/>
    <w:rsid w:val="00DF2B96"/>
    <w:rsid w:val="00ED3F0C"/>
    <w:rsid w:val="01764026"/>
    <w:rsid w:val="020A533B"/>
    <w:rsid w:val="02AF1BCE"/>
    <w:rsid w:val="02BA37B0"/>
    <w:rsid w:val="02F41CAD"/>
    <w:rsid w:val="036C3D74"/>
    <w:rsid w:val="03CA0201"/>
    <w:rsid w:val="03EF1171"/>
    <w:rsid w:val="04372DA7"/>
    <w:rsid w:val="054170C6"/>
    <w:rsid w:val="05720596"/>
    <w:rsid w:val="057A17B3"/>
    <w:rsid w:val="059E1945"/>
    <w:rsid w:val="05F01509"/>
    <w:rsid w:val="066D6EBE"/>
    <w:rsid w:val="07107C1F"/>
    <w:rsid w:val="0727186C"/>
    <w:rsid w:val="088968DD"/>
    <w:rsid w:val="08C3481A"/>
    <w:rsid w:val="09594CC4"/>
    <w:rsid w:val="0A297F16"/>
    <w:rsid w:val="0AA277E2"/>
    <w:rsid w:val="0B4E1717"/>
    <w:rsid w:val="0C351327"/>
    <w:rsid w:val="0C666EEA"/>
    <w:rsid w:val="0CDB51C5"/>
    <w:rsid w:val="0D10302B"/>
    <w:rsid w:val="0D7A1CDB"/>
    <w:rsid w:val="0DCD726B"/>
    <w:rsid w:val="0F7369D5"/>
    <w:rsid w:val="100F6825"/>
    <w:rsid w:val="105E23FD"/>
    <w:rsid w:val="11140D0D"/>
    <w:rsid w:val="113D0264"/>
    <w:rsid w:val="11A55E09"/>
    <w:rsid w:val="12D90460"/>
    <w:rsid w:val="15761F97"/>
    <w:rsid w:val="15F9365C"/>
    <w:rsid w:val="162F7A3C"/>
    <w:rsid w:val="168705BE"/>
    <w:rsid w:val="172E012D"/>
    <w:rsid w:val="17547981"/>
    <w:rsid w:val="17A80770"/>
    <w:rsid w:val="18445357"/>
    <w:rsid w:val="18982224"/>
    <w:rsid w:val="18FA4C14"/>
    <w:rsid w:val="1A7016AA"/>
    <w:rsid w:val="1BDD44B0"/>
    <w:rsid w:val="1C2529FF"/>
    <w:rsid w:val="1D791FD7"/>
    <w:rsid w:val="1E317B44"/>
    <w:rsid w:val="1E566E09"/>
    <w:rsid w:val="1EC56C27"/>
    <w:rsid w:val="1F2B3EFC"/>
    <w:rsid w:val="1F4629DA"/>
    <w:rsid w:val="1F8E1CF8"/>
    <w:rsid w:val="21035955"/>
    <w:rsid w:val="215A276C"/>
    <w:rsid w:val="221851E6"/>
    <w:rsid w:val="224A458F"/>
    <w:rsid w:val="22723902"/>
    <w:rsid w:val="23201F60"/>
    <w:rsid w:val="232C1E94"/>
    <w:rsid w:val="23710410"/>
    <w:rsid w:val="23C177B6"/>
    <w:rsid w:val="23F9105D"/>
    <w:rsid w:val="25306EE2"/>
    <w:rsid w:val="25D32AED"/>
    <w:rsid w:val="266F3771"/>
    <w:rsid w:val="26F43327"/>
    <w:rsid w:val="274A419B"/>
    <w:rsid w:val="278F4358"/>
    <w:rsid w:val="27AC1913"/>
    <w:rsid w:val="27AF0CE2"/>
    <w:rsid w:val="27BB1274"/>
    <w:rsid w:val="281C077C"/>
    <w:rsid w:val="288829C2"/>
    <w:rsid w:val="28904894"/>
    <w:rsid w:val="289C7F3C"/>
    <w:rsid w:val="28C8126C"/>
    <w:rsid w:val="29220EF6"/>
    <w:rsid w:val="2AD01014"/>
    <w:rsid w:val="2B8A65D1"/>
    <w:rsid w:val="2C4F66C1"/>
    <w:rsid w:val="2C6C0DBE"/>
    <w:rsid w:val="2C8132A3"/>
    <w:rsid w:val="2C917248"/>
    <w:rsid w:val="2E1702C2"/>
    <w:rsid w:val="2FAB0A48"/>
    <w:rsid w:val="2FF56385"/>
    <w:rsid w:val="30F45504"/>
    <w:rsid w:val="310550F2"/>
    <w:rsid w:val="312F39C2"/>
    <w:rsid w:val="322169DF"/>
    <w:rsid w:val="32EC2DE5"/>
    <w:rsid w:val="332055EB"/>
    <w:rsid w:val="3361798A"/>
    <w:rsid w:val="33C341A1"/>
    <w:rsid w:val="343313EF"/>
    <w:rsid w:val="34E30FF8"/>
    <w:rsid w:val="3598548C"/>
    <w:rsid w:val="362E19ED"/>
    <w:rsid w:val="36E65EE8"/>
    <w:rsid w:val="38477A29"/>
    <w:rsid w:val="38C22C79"/>
    <w:rsid w:val="38E2045E"/>
    <w:rsid w:val="38F92413"/>
    <w:rsid w:val="39B849AC"/>
    <w:rsid w:val="39D37B62"/>
    <w:rsid w:val="3A0C6125"/>
    <w:rsid w:val="3B522D42"/>
    <w:rsid w:val="3B7A3CDF"/>
    <w:rsid w:val="3C1341E6"/>
    <w:rsid w:val="3D2E7F41"/>
    <w:rsid w:val="3D5F13DF"/>
    <w:rsid w:val="3F8C69B3"/>
    <w:rsid w:val="40183AC7"/>
    <w:rsid w:val="403F29F9"/>
    <w:rsid w:val="4045536F"/>
    <w:rsid w:val="406B1E48"/>
    <w:rsid w:val="4226071D"/>
    <w:rsid w:val="424E09CC"/>
    <w:rsid w:val="42804718"/>
    <w:rsid w:val="4287437F"/>
    <w:rsid w:val="42DB7BE8"/>
    <w:rsid w:val="43B15A7D"/>
    <w:rsid w:val="43C317DE"/>
    <w:rsid w:val="44986F84"/>
    <w:rsid w:val="44F34016"/>
    <w:rsid w:val="45F811DF"/>
    <w:rsid w:val="46404CE5"/>
    <w:rsid w:val="48665371"/>
    <w:rsid w:val="48B3438D"/>
    <w:rsid w:val="49675177"/>
    <w:rsid w:val="49C5228A"/>
    <w:rsid w:val="49C82D31"/>
    <w:rsid w:val="4A1A5F48"/>
    <w:rsid w:val="4A9311B5"/>
    <w:rsid w:val="4AE5697A"/>
    <w:rsid w:val="4AF6122F"/>
    <w:rsid w:val="4B2058B1"/>
    <w:rsid w:val="4B4A3121"/>
    <w:rsid w:val="4B8054E5"/>
    <w:rsid w:val="4CD10909"/>
    <w:rsid w:val="4CDD30BE"/>
    <w:rsid w:val="4CFA195C"/>
    <w:rsid w:val="4D413526"/>
    <w:rsid w:val="4FAE58AE"/>
    <w:rsid w:val="506063B0"/>
    <w:rsid w:val="50C3182D"/>
    <w:rsid w:val="50C939BF"/>
    <w:rsid w:val="51644DBE"/>
    <w:rsid w:val="518A5FCF"/>
    <w:rsid w:val="525F5585"/>
    <w:rsid w:val="55322ADD"/>
    <w:rsid w:val="55EC5382"/>
    <w:rsid w:val="567C0974"/>
    <w:rsid w:val="57623B4D"/>
    <w:rsid w:val="577613A7"/>
    <w:rsid w:val="591438A3"/>
    <w:rsid w:val="597B202F"/>
    <w:rsid w:val="5A054C64"/>
    <w:rsid w:val="5AB50438"/>
    <w:rsid w:val="5AE34FA5"/>
    <w:rsid w:val="5B5072E3"/>
    <w:rsid w:val="5B6C1A49"/>
    <w:rsid w:val="5BD85DD7"/>
    <w:rsid w:val="5C314C9D"/>
    <w:rsid w:val="5D641CA2"/>
    <w:rsid w:val="5DDD2297"/>
    <w:rsid w:val="5FB177E8"/>
    <w:rsid w:val="60AA12A8"/>
    <w:rsid w:val="60EF3EDC"/>
    <w:rsid w:val="62620EA5"/>
    <w:rsid w:val="628E1C9B"/>
    <w:rsid w:val="64B75ABF"/>
    <w:rsid w:val="65984BDE"/>
    <w:rsid w:val="65A716C6"/>
    <w:rsid w:val="660D477E"/>
    <w:rsid w:val="66140709"/>
    <w:rsid w:val="66DA2A9C"/>
    <w:rsid w:val="66E44404"/>
    <w:rsid w:val="68CD0F87"/>
    <w:rsid w:val="68D53E01"/>
    <w:rsid w:val="694C2C2B"/>
    <w:rsid w:val="694E3F32"/>
    <w:rsid w:val="6A04258F"/>
    <w:rsid w:val="6AA87C08"/>
    <w:rsid w:val="6B3D5CD6"/>
    <w:rsid w:val="6BF16DF6"/>
    <w:rsid w:val="6D1E383F"/>
    <w:rsid w:val="6D21334F"/>
    <w:rsid w:val="6DB868D5"/>
    <w:rsid w:val="6DD95D94"/>
    <w:rsid w:val="6E290275"/>
    <w:rsid w:val="6E3022FE"/>
    <w:rsid w:val="6E3F1A2D"/>
    <w:rsid w:val="6E8626DC"/>
    <w:rsid w:val="6EA53724"/>
    <w:rsid w:val="6EC604A2"/>
    <w:rsid w:val="6F257866"/>
    <w:rsid w:val="6F8C57B4"/>
    <w:rsid w:val="704213F0"/>
    <w:rsid w:val="71363BAA"/>
    <w:rsid w:val="722E4900"/>
    <w:rsid w:val="72596368"/>
    <w:rsid w:val="72E176CB"/>
    <w:rsid w:val="734B14E2"/>
    <w:rsid w:val="74C21625"/>
    <w:rsid w:val="75267B11"/>
    <w:rsid w:val="765121C2"/>
    <w:rsid w:val="770E6AAE"/>
    <w:rsid w:val="771860A1"/>
    <w:rsid w:val="77265A45"/>
    <w:rsid w:val="77FB40F3"/>
    <w:rsid w:val="78581143"/>
    <w:rsid w:val="7A7E03EF"/>
    <w:rsid w:val="7AB4735A"/>
    <w:rsid w:val="7BE60E47"/>
    <w:rsid w:val="7C400B1D"/>
    <w:rsid w:val="7D472B43"/>
    <w:rsid w:val="7E2E195D"/>
    <w:rsid w:val="7F1559B0"/>
    <w:rsid w:val="7F5A7F4D"/>
    <w:rsid w:val="7F5E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4">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rFonts w:ascii="Times New Roman" w:hAnsi="Times New Roman" w:cs="Times New Roman"/>
      <w:sz w:val="32"/>
      <w:szCs w:val="20"/>
      <w:lang w:bidi="ar-SA"/>
    </w:rPr>
  </w:style>
  <w:style w:type="paragraph" w:styleId="6">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autoRedefine/>
    <w:unhideWhenUsed/>
    <w:qFormat/>
    <w:uiPriority w:val="99"/>
    <w:pPr>
      <w:ind w:left="600" w:leftChars="600"/>
    </w:pPr>
    <w:rPr>
      <w:rFonts w:ascii="Verdana" w:hAnsi="Verdana"/>
      <w:szCs w:val="20"/>
    </w:rPr>
  </w:style>
  <w:style w:type="paragraph" w:styleId="7">
    <w:name w:val="Normal Indent"/>
    <w:basedOn w:val="1"/>
    <w:autoRedefine/>
    <w:qFormat/>
    <w:uiPriority w:val="0"/>
    <w:pPr>
      <w:ind w:firstLine="420"/>
    </w:pPr>
  </w:style>
  <w:style w:type="paragraph" w:styleId="8">
    <w:name w:val="annotation text"/>
    <w:basedOn w:val="1"/>
    <w:autoRedefine/>
    <w:qFormat/>
    <w:uiPriority w:val="0"/>
    <w:pPr>
      <w:jc w:val="left"/>
    </w:pPr>
  </w:style>
  <w:style w:type="paragraph" w:styleId="9">
    <w:name w:val="Body Text"/>
    <w:basedOn w:val="1"/>
    <w:autoRedefine/>
    <w:qFormat/>
    <w:uiPriority w:val="0"/>
    <w:rPr>
      <w:rFonts w:ascii="楷体_GB2312" w:hAnsi="Arial" w:eastAsia="楷体_GB2312"/>
      <w:kern w:val="0"/>
      <w:szCs w:val="20"/>
    </w:rPr>
  </w:style>
  <w:style w:type="paragraph" w:styleId="10">
    <w:name w:val="Body Text Indent"/>
    <w:basedOn w:val="1"/>
    <w:qFormat/>
    <w:uiPriority w:val="0"/>
    <w:pPr>
      <w:spacing w:line="360" w:lineRule="auto"/>
      <w:ind w:left="359" w:leftChars="171"/>
    </w:pPr>
    <w:rPr>
      <w:rFonts w:ascii="宋体"/>
    </w:rPr>
  </w:style>
  <w:style w:type="paragraph" w:styleId="11">
    <w:name w:val="Block Text"/>
    <w:basedOn w:val="1"/>
    <w:autoRedefine/>
    <w:unhideWhenUsed/>
    <w:qFormat/>
    <w:uiPriority w:val="99"/>
    <w:pPr>
      <w:spacing w:after="120"/>
      <w:ind w:left="1440" w:leftChars="700" w:right="1440" w:rightChars="700"/>
    </w:pPr>
  </w:style>
  <w:style w:type="paragraph" w:styleId="12">
    <w:name w:val="List Bullet 2"/>
    <w:basedOn w:val="1"/>
    <w:qFormat/>
    <w:uiPriority w:val="0"/>
    <w:pPr>
      <w:numPr>
        <w:ilvl w:val="0"/>
        <w:numId w:val="2"/>
      </w:numPr>
    </w:pPr>
  </w:style>
  <w:style w:type="paragraph" w:styleId="13">
    <w:name w:val="Plain Text"/>
    <w:basedOn w:val="1"/>
    <w:autoRedefine/>
    <w:qFormat/>
    <w:uiPriority w:val="0"/>
    <w:rPr>
      <w:rFonts w:ascii="宋体" w:hAnsi="Calibri" w:cs="Courier New"/>
      <w:szCs w:val="21"/>
    </w:rPr>
  </w:style>
  <w:style w:type="paragraph" w:styleId="14">
    <w:name w:val="footer"/>
    <w:basedOn w:val="1"/>
    <w:autoRedefine/>
    <w:unhideWhenUsed/>
    <w:qFormat/>
    <w:uiPriority w:val="99"/>
    <w:pPr>
      <w:tabs>
        <w:tab w:val="center" w:pos="4153"/>
        <w:tab w:val="right" w:pos="8306"/>
      </w:tabs>
      <w:snapToGrid w:val="0"/>
      <w:jc w:val="left"/>
    </w:pPr>
    <w:rPr>
      <w:sz w:val="18"/>
      <w:szCs w:val="18"/>
    </w:rPr>
  </w:style>
  <w:style w:type="paragraph" w:styleId="1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2"/>
    <w:basedOn w:val="1"/>
    <w:next w:val="1"/>
    <w:autoRedefine/>
    <w:semiHidden/>
    <w:qFormat/>
    <w:uiPriority w:val="0"/>
    <w:pPr>
      <w:ind w:left="420" w:leftChars="200"/>
    </w:pPr>
    <w:rPr>
      <w:szCs w:val="20"/>
    </w:rPr>
  </w:style>
  <w:style w:type="paragraph" w:styleId="17">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8">
    <w:name w:val="Body Text First Indent"/>
    <w:basedOn w:val="9"/>
    <w:autoRedefine/>
    <w:qFormat/>
    <w:uiPriority w:val="99"/>
    <w:pPr>
      <w:spacing w:line="360" w:lineRule="auto"/>
      <w:ind w:firstLine="420" w:firstLineChars="100"/>
    </w:pPr>
    <w:rPr>
      <w:rFonts w:ascii="Times New Roman" w:hAnsi="Times New Roman"/>
      <w:szCs w:val="21"/>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2">
    <w:name w:val="Hyperlink"/>
    <w:basedOn w:val="21"/>
    <w:autoRedefine/>
    <w:qFormat/>
    <w:uiPriority w:val="0"/>
    <w:rPr>
      <w:color w:val="0000FF"/>
      <w:u w:val="single"/>
    </w:rPr>
  </w:style>
  <w:style w:type="paragraph" w:customStyle="1" w:styleId="23">
    <w:name w:val="三级标题"/>
    <w:basedOn w:val="5"/>
    <w:next w:val="9"/>
    <w:qFormat/>
    <w:uiPriority w:val="0"/>
    <w:pPr>
      <w:tabs>
        <w:tab w:val="left" w:pos="1505"/>
      </w:tabs>
      <w:topLinePunct/>
      <w:spacing w:before="50" w:beforeLines="0" w:after="50" w:afterLines="0"/>
      <w:ind w:firstLine="200" w:firstLineChars="200"/>
    </w:pPr>
    <w:rPr>
      <w:rFonts w:ascii="Times New Roman" w:hAnsi="Times New Roman" w:cs="Times New Roman"/>
    </w:rPr>
  </w:style>
  <w:style w:type="paragraph" w:customStyle="1" w:styleId="24">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列表段落1"/>
    <w:basedOn w:val="1"/>
    <w:autoRedefine/>
    <w:qFormat/>
    <w:uiPriority w:val="34"/>
    <w:pPr>
      <w:ind w:firstLine="420"/>
    </w:pPr>
  </w:style>
  <w:style w:type="character" w:customStyle="1" w:styleId="26">
    <w:name w:val="font51"/>
    <w:basedOn w:val="21"/>
    <w:autoRedefine/>
    <w:qFormat/>
    <w:uiPriority w:val="0"/>
    <w:rPr>
      <w:rFonts w:hint="default" w:ascii="等线" w:hAnsi="等线" w:eastAsia="等线" w:cs="等线"/>
      <w:color w:val="000000"/>
      <w:sz w:val="22"/>
      <w:szCs w:val="22"/>
      <w:u w:val="none"/>
    </w:rPr>
  </w:style>
  <w:style w:type="paragraph" w:styleId="27">
    <w:name w:val="List Paragraph"/>
    <w:basedOn w:val="1"/>
    <w:autoRedefine/>
    <w:unhideWhenUsed/>
    <w:qFormat/>
    <w:uiPriority w:val="99"/>
    <w:pPr>
      <w:ind w:firstLine="420"/>
    </w:pPr>
  </w:style>
  <w:style w:type="paragraph" w:customStyle="1" w:styleId="28">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正文1"/>
    <w:basedOn w:val="1"/>
    <w:autoRedefine/>
    <w:qFormat/>
    <w:uiPriority w:val="0"/>
    <w:pPr>
      <w:widowControl/>
      <w:spacing w:line="440" w:lineRule="exact"/>
      <w:ind w:right="-167" w:rightChars="-167"/>
    </w:pPr>
  </w:style>
  <w:style w:type="paragraph" w:customStyle="1" w:styleId="30">
    <w:name w:val="二级无"/>
    <w:basedOn w:val="31"/>
    <w:autoRedefine/>
    <w:qFormat/>
    <w:uiPriority w:val="0"/>
    <w:pPr>
      <w:spacing w:before="0" w:beforeLines="0" w:after="0" w:afterLines="0"/>
    </w:pPr>
    <w:rPr>
      <w:rFonts w:ascii="宋体" w:eastAsia="宋体"/>
    </w:rPr>
  </w:style>
  <w:style w:type="paragraph" w:customStyle="1" w:styleId="31">
    <w:name w:val="二级条标题"/>
    <w:basedOn w:val="32"/>
    <w:next w:val="33"/>
    <w:autoRedefine/>
    <w:qFormat/>
    <w:uiPriority w:val="0"/>
    <w:pPr>
      <w:numPr>
        <w:ilvl w:val="2"/>
      </w:numPr>
      <w:spacing w:before="50" w:after="50"/>
      <w:outlineLvl w:val="3"/>
    </w:pPr>
  </w:style>
  <w:style w:type="paragraph" w:customStyle="1" w:styleId="32">
    <w:name w:val="一级条标题"/>
    <w:next w:val="33"/>
    <w:autoRedefine/>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3">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4">
    <w:name w:val="reader-word-layer reader-word-s5-1"/>
    <w:basedOn w:val="1"/>
    <w:unhideWhenUsed/>
    <w:qFormat/>
    <w:uiPriority w:val="0"/>
    <w:pPr>
      <w:widowControl/>
      <w:spacing w:before="100" w:beforeLines="0" w:beforeAutospacing="1" w:after="100" w:afterLines="0" w:afterAutospacing="1"/>
      <w:jc w:val="left"/>
    </w:pPr>
    <w:rPr>
      <w:rFonts w:hint="eastAsia" w:ascii="宋体" w:hAnsi="宋体" w:cs="宋体"/>
      <w:kern w:val="0"/>
      <w:sz w:val="24"/>
      <w:szCs w:val="24"/>
    </w:rPr>
  </w:style>
  <w:style w:type="character" w:customStyle="1" w:styleId="35">
    <w:name w:val="NormalCharacter"/>
    <w:qFormat/>
    <w:uiPriority w:val="0"/>
    <w:rPr>
      <w:rFonts w:ascii="Times New Roman" w:hAnsi="Times New Roman" w:eastAsia="宋体" w:cs="Times New Roman"/>
      <w:kern w:val="2"/>
      <w:sz w:val="21"/>
      <w:szCs w:val="24"/>
      <w:lang w:val="en-US" w:eastAsia="zh-CN" w:bidi="ar-SA"/>
    </w:rPr>
  </w:style>
  <w:style w:type="paragraph" w:customStyle="1" w:styleId="36">
    <w:name w:val="纯文本1"/>
    <w:basedOn w:val="1"/>
    <w:qFormat/>
    <w:uiPriority w:val="0"/>
    <w:pPr>
      <w:adjustRightInd w:val="0"/>
      <w:textAlignment w:val="baseline"/>
    </w:pPr>
    <w:rPr>
      <w:rFonts w:ascii="宋体" w:hAnsi="Courier New" w:eastAsia="宋体" w:cs="Times New Roman"/>
    </w:rPr>
  </w:style>
  <w:style w:type="character" w:customStyle="1" w:styleId="37">
    <w:name w:val="font11"/>
    <w:basedOn w:val="2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10597</Words>
  <Characters>11884</Characters>
  <Lines>36</Lines>
  <Paragraphs>10</Paragraphs>
  <TotalTime>6</TotalTime>
  <ScaleCrop>false</ScaleCrop>
  <LinksUpToDate>false</LinksUpToDate>
  <CharactersWithSpaces>12162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cp:lastPrinted>2025-07-17T01:38:00Z</cp:lastPrinted>
  <dcterms:modified xsi:type="dcterms:W3CDTF">2025-08-04T08:02:00Z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6B41A3E011224B9DBA5D62E3EE2F6221_13</vt:lpwstr>
  </property>
  <property fmtid="{D5CDD505-2E9C-101B-9397-08002B2CF9AE}" pid="4" name="KSOTemplateDocerSaveRecord">
    <vt:lpwstr>eyJoZGlkIjoiM2IwNDkxZDYwNzBmMTgyYjg5NjQzNjgwZTU2OTk2ZGEiLCJ1c2VySWQiOiIyODAwNDgzNjEifQ==</vt:lpwstr>
  </property>
</Properties>
</file>