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F2425C">
      <w:pPr>
        <w:spacing w:line="360" w:lineRule="auto"/>
        <w:jc w:val="center"/>
        <w:rPr>
          <w:color w:val="auto"/>
          <w:sz w:val="24"/>
          <w:highlight w:val="none"/>
        </w:rPr>
      </w:pPr>
      <w:bookmarkStart w:id="35" w:name="_GoBack"/>
      <w:bookmarkEnd w:id="35"/>
    </w:p>
    <w:p w14:paraId="769C2D6E">
      <w:pPr>
        <w:spacing w:line="360" w:lineRule="auto"/>
        <w:jc w:val="center"/>
        <w:rPr>
          <w:color w:val="auto"/>
          <w:sz w:val="24"/>
          <w:highlight w:val="none"/>
        </w:rPr>
      </w:pPr>
    </w:p>
    <w:p w14:paraId="11304874">
      <w:pPr>
        <w:spacing w:line="360" w:lineRule="auto"/>
        <w:jc w:val="center"/>
        <w:rPr>
          <w:color w:val="auto"/>
          <w:sz w:val="24"/>
          <w:highlight w:val="none"/>
        </w:rPr>
      </w:pPr>
    </w:p>
    <w:p w14:paraId="5525E3B1">
      <w:pPr>
        <w:spacing w:line="360" w:lineRule="auto"/>
        <w:jc w:val="center"/>
        <w:rPr>
          <w:color w:val="auto"/>
          <w:sz w:val="24"/>
          <w:highlight w:val="none"/>
        </w:rPr>
      </w:pPr>
    </w:p>
    <w:p w14:paraId="2B878A1F">
      <w:pPr>
        <w:spacing w:line="360" w:lineRule="auto"/>
        <w:jc w:val="center"/>
        <w:rPr>
          <w:color w:val="auto"/>
          <w:sz w:val="24"/>
          <w:highlight w:val="none"/>
        </w:rPr>
      </w:pPr>
    </w:p>
    <w:p w14:paraId="7B43164B">
      <w:pPr>
        <w:spacing w:line="360" w:lineRule="auto"/>
        <w:jc w:val="center"/>
        <w:rPr>
          <w:color w:val="auto"/>
          <w:sz w:val="24"/>
          <w:highlight w:val="none"/>
        </w:rPr>
      </w:pPr>
    </w:p>
    <w:p w14:paraId="46785807">
      <w:pPr>
        <w:spacing w:line="360" w:lineRule="auto"/>
        <w:jc w:val="center"/>
        <w:rPr>
          <w:color w:val="auto"/>
          <w:sz w:val="24"/>
          <w:highlight w:val="none"/>
        </w:rPr>
      </w:pPr>
    </w:p>
    <w:p w14:paraId="51F7AA1F">
      <w:pPr>
        <w:spacing w:line="360" w:lineRule="auto"/>
        <w:jc w:val="center"/>
        <w:rPr>
          <w:color w:val="auto"/>
          <w:sz w:val="24"/>
          <w:highlight w:val="none"/>
        </w:rPr>
      </w:pPr>
    </w:p>
    <w:p w14:paraId="1EC8080F">
      <w:pPr>
        <w:spacing w:line="360" w:lineRule="auto"/>
        <w:jc w:val="center"/>
        <w:rPr>
          <w:color w:val="auto"/>
          <w:sz w:val="24"/>
          <w:highlight w:val="none"/>
        </w:rPr>
      </w:pPr>
    </w:p>
    <w:p w14:paraId="2D6C2BF7">
      <w:pPr>
        <w:spacing w:line="360" w:lineRule="auto"/>
        <w:jc w:val="center"/>
        <w:rPr>
          <w:rFonts w:hint="eastAsia" w:ascii="黑体" w:hAnsi="黑体" w:eastAsia="黑体"/>
          <w:color w:val="auto"/>
          <w:sz w:val="72"/>
          <w:szCs w:val="72"/>
          <w:highlight w:val="none"/>
        </w:rPr>
      </w:pPr>
      <w:r>
        <w:rPr>
          <w:rFonts w:hint="eastAsia" w:ascii="黑体" w:hAnsi="黑体" w:eastAsia="黑体"/>
          <w:color w:val="auto"/>
          <w:sz w:val="72"/>
          <w:szCs w:val="72"/>
          <w:highlight w:val="none"/>
        </w:rPr>
        <w:t>竞争性磋商文件</w:t>
      </w:r>
    </w:p>
    <w:p w14:paraId="736ADF07">
      <w:pPr>
        <w:spacing w:line="360" w:lineRule="auto"/>
        <w:rPr>
          <w:color w:val="auto"/>
          <w:sz w:val="24"/>
          <w:highlight w:val="none"/>
        </w:rPr>
      </w:pPr>
    </w:p>
    <w:p w14:paraId="2672A1A3">
      <w:pPr>
        <w:spacing w:line="360" w:lineRule="auto"/>
        <w:jc w:val="center"/>
        <w:rPr>
          <w:rFonts w:hint="eastAsia" w:ascii="宋体" w:hAnsi="宋体"/>
          <w:b/>
          <w:color w:val="auto"/>
          <w:sz w:val="32"/>
          <w:szCs w:val="32"/>
          <w:highlight w:val="none"/>
        </w:rPr>
      </w:pPr>
    </w:p>
    <w:p w14:paraId="489A8769">
      <w:pPr>
        <w:spacing w:line="360" w:lineRule="auto"/>
        <w:jc w:val="center"/>
        <w:rPr>
          <w:rFonts w:hint="eastAsia" w:ascii="宋体" w:hAnsi="宋体"/>
          <w:b/>
          <w:color w:val="auto"/>
          <w:sz w:val="32"/>
          <w:szCs w:val="32"/>
          <w:highlight w:val="none"/>
        </w:rPr>
      </w:pPr>
    </w:p>
    <w:p w14:paraId="2E061993">
      <w:pPr>
        <w:spacing w:line="360" w:lineRule="auto"/>
        <w:jc w:val="center"/>
        <w:rPr>
          <w:rFonts w:hint="eastAsia" w:ascii="宋体" w:hAnsi="宋体"/>
          <w:b/>
          <w:color w:val="auto"/>
          <w:sz w:val="32"/>
          <w:szCs w:val="32"/>
          <w:highlight w:val="none"/>
        </w:rPr>
      </w:pPr>
    </w:p>
    <w:p w14:paraId="07A9AA53">
      <w:pPr>
        <w:spacing w:line="360" w:lineRule="auto"/>
        <w:jc w:val="center"/>
        <w:rPr>
          <w:rFonts w:hint="eastAsia" w:ascii="宋体" w:hAnsi="宋体"/>
          <w:b/>
          <w:color w:val="auto"/>
          <w:sz w:val="32"/>
          <w:szCs w:val="32"/>
          <w:highlight w:val="none"/>
        </w:rPr>
      </w:pPr>
    </w:p>
    <w:p w14:paraId="685EEA03">
      <w:pPr>
        <w:spacing w:line="360" w:lineRule="auto"/>
        <w:jc w:val="center"/>
        <w:rPr>
          <w:rFonts w:hint="eastAsia" w:ascii="宋体" w:hAnsi="宋体"/>
          <w:b/>
          <w:color w:val="auto"/>
          <w:sz w:val="32"/>
          <w:szCs w:val="32"/>
          <w:highlight w:val="none"/>
        </w:rPr>
      </w:pPr>
    </w:p>
    <w:p w14:paraId="25259D3C">
      <w:pPr>
        <w:spacing w:line="360" w:lineRule="auto"/>
        <w:jc w:val="center"/>
        <w:rPr>
          <w:rFonts w:hint="eastAsia" w:ascii="宋体" w:hAnsi="宋体"/>
          <w:b/>
          <w:color w:val="auto"/>
          <w:sz w:val="32"/>
          <w:szCs w:val="32"/>
          <w:highlight w:val="none"/>
        </w:rPr>
      </w:pPr>
    </w:p>
    <w:p w14:paraId="7D9A7302">
      <w:pPr>
        <w:spacing w:line="360" w:lineRule="auto"/>
        <w:jc w:val="center"/>
        <w:rPr>
          <w:rFonts w:hint="eastAsia" w:ascii="宋体" w:hAnsi="宋体"/>
          <w:b/>
          <w:color w:val="auto"/>
          <w:sz w:val="32"/>
          <w:szCs w:val="32"/>
          <w:highlight w:val="none"/>
        </w:rPr>
      </w:pPr>
    </w:p>
    <w:p w14:paraId="075C081F">
      <w:pPr>
        <w:spacing w:line="360" w:lineRule="auto"/>
        <w:jc w:val="center"/>
        <w:rPr>
          <w:rFonts w:hint="eastAsia" w:ascii="宋体" w:hAnsi="宋体"/>
          <w:b/>
          <w:color w:val="auto"/>
          <w:sz w:val="32"/>
          <w:szCs w:val="32"/>
          <w:highlight w:val="none"/>
        </w:rPr>
      </w:pPr>
    </w:p>
    <w:p w14:paraId="26264A57">
      <w:pPr>
        <w:spacing w:line="360" w:lineRule="auto"/>
        <w:jc w:val="center"/>
        <w:rPr>
          <w:rFonts w:hint="eastAsia" w:ascii="宋体" w:hAnsi="宋体"/>
          <w:b/>
          <w:color w:val="auto"/>
          <w:sz w:val="32"/>
          <w:szCs w:val="32"/>
          <w:highlight w:val="none"/>
        </w:rPr>
      </w:pPr>
    </w:p>
    <w:p w14:paraId="7F3A9892">
      <w:pPr>
        <w:pStyle w:val="8"/>
        <w:rPr>
          <w:rFonts w:hint="eastAsia" w:ascii="宋体" w:hAnsi="宋体" w:eastAsia="宋体"/>
          <w:b/>
          <w:color w:val="auto"/>
          <w:sz w:val="32"/>
          <w:szCs w:val="32"/>
          <w:highlight w:val="none"/>
          <w:lang w:eastAsia="zh-CN"/>
        </w:rPr>
      </w:pPr>
      <w:r>
        <w:rPr>
          <w:rFonts w:hint="eastAsia" w:ascii="宋体" w:hAnsi="宋体"/>
          <w:b/>
          <w:color w:val="auto"/>
          <w:sz w:val="32"/>
          <w:szCs w:val="32"/>
          <w:highlight w:val="none"/>
        </w:rPr>
        <w:t xml:space="preserve">项目名称: </w:t>
      </w:r>
      <w:r>
        <w:rPr>
          <w:rFonts w:hint="eastAsia" w:ascii="宋体" w:hAnsi="宋体"/>
          <w:b/>
          <w:color w:val="auto"/>
          <w:sz w:val="32"/>
          <w:szCs w:val="32"/>
          <w:highlight w:val="none"/>
          <w:lang w:eastAsia="zh-CN"/>
        </w:rPr>
        <w:t>南京市溧水区人民医院2026年第二批银行贷款项目</w:t>
      </w:r>
    </w:p>
    <w:p w14:paraId="7C680ED5">
      <w:pPr>
        <w:spacing w:line="360" w:lineRule="auto"/>
        <w:rPr>
          <w:rFonts w:hint="eastAsia" w:ascii="宋体" w:hAnsi="宋体"/>
          <w:b/>
          <w:color w:val="auto"/>
          <w:sz w:val="32"/>
          <w:szCs w:val="32"/>
          <w:highlight w:val="none"/>
        </w:rPr>
      </w:pPr>
      <w:r>
        <w:rPr>
          <w:rFonts w:hint="eastAsia" w:ascii="宋体" w:hAnsi="宋体"/>
          <w:b/>
          <w:color w:val="auto"/>
          <w:sz w:val="32"/>
          <w:szCs w:val="32"/>
          <w:highlight w:val="none"/>
        </w:rPr>
        <w:t>院方全称：南京市溧水区人民医院</w:t>
      </w:r>
    </w:p>
    <w:p w14:paraId="066FDB7A">
      <w:pPr>
        <w:spacing w:line="360" w:lineRule="auto"/>
        <w:rPr>
          <w:rFonts w:hint="eastAsia" w:ascii="宋体" w:hAnsi="宋体"/>
          <w:b/>
          <w:color w:val="auto"/>
          <w:sz w:val="32"/>
          <w:szCs w:val="32"/>
          <w:highlight w:val="none"/>
        </w:rPr>
      </w:pPr>
      <w:r>
        <w:rPr>
          <w:rFonts w:hint="eastAsia" w:ascii="宋体" w:hAnsi="宋体"/>
          <w:b/>
          <w:color w:val="auto"/>
          <w:sz w:val="32"/>
          <w:szCs w:val="32"/>
          <w:highlight w:val="none"/>
        </w:rPr>
        <w:t>采购日期：2026年0</w:t>
      </w:r>
      <w:r>
        <w:rPr>
          <w:rFonts w:hint="eastAsia" w:ascii="宋体" w:hAnsi="宋体"/>
          <w:b/>
          <w:color w:val="auto"/>
          <w:sz w:val="32"/>
          <w:szCs w:val="32"/>
          <w:highlight w:val="none"/>
          <w:lang w:val="en-US" w:eastAsia="zh-CN"/>
        </w:rPr>
        <w:t>9</w:t>
      </w:r>
      <w:r>
        <w:rPr>
          <w:rFonts w:hint="eastAsia" w:ascii="宋体" w:hAnsi="宋体"/>
          <w:b/>
          <w:color w:val="auto"/>
          <w:sz w:val="32"/>
          <w:szCs w:val="32"/>
          <w:highlight w:val="none"/>
        </w:rPr>
        <w:t>月</w:t>
      </w:r>
    </w:p>
    <w:p w14:paraId="2AC6D2B0">
      <w:pPr>
        <w:pStyle w:val="3"/>
        <w:jc w:val="center"/>
        <w:rPr>
          <w:color w:val="auto"/>
          <w:highlight w:val="none"/>
        </w:rPr>
      </w:pPr>
      <w:r>
        <w:rPr>
          <w:rFonts w:hint="eastAsia"/>
          <w:color w:val="auto"/>
          <w:highlight w:val="none"/>
        </w:rPr>
        <w:t>第一部分  竞争性磋商公告</w:t>
      </w:r>
    </w:p>
    <w:p w14:paraId="74BE3035">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一、项目基本情况</w:t>
      </w:r>
    </w:p>
    <w:p w14:paraId="4C23A69A">
      <w:pPr>
        <w:spacing w:line="360" w:lineRule="auto"/>
        <w:ind w:firstLine="420" w:firstLineChars="200"/>
        <w:rPr>
          <w:rFonts w:hint="eastAsia" w:ascii="宋体" w:hAnsi="宋体" w:cs="宋体"/>
          <w:color w:val="auto"/>
          <w:szCs w:val="21"/>
          <w:highlight w:val="none"/>
        </w:rPr>
      </w:pPr>
      <w:bookmarkStart w:id="0" w:name="_Toc35393630"/>
      <w:bookmarkStart w:id="1" w:name="_Toc35393799"/>
      <w:bookmarkStart w:id="2" w:name="_Toc28359013"/>
      <w:bookmarkStart w:id="3" w:name="_Toc28359090"/>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项目名称：</w:t>
      </w:r>
      <w:r>
        <w:rPr>
          <w:rFonts w:hint="eastAsia" w:ascii="宋体" w:hAnsi="宋体" w:cs="宋体"/>
          <w:color w:val="auto"/>
          <w:szCs w:val="21"/>
          <w:highlight w:val="none"/>
          <w:lang w:eastAsia="zh-CN"/>
        </w:rPr>
        <w:t>南京市溧水区人民医院2026年第二批银行贷款项目</w:t>
      </w:r>
      <w:r>
        <w:rPr>
          <w:rFonts w:hint="eastAsia" w:ascii="宋体" w:hAnsi="宋体" w:cs="宋体"/>
          <w:color w:val="auto"/>
          <w:szCs w:val="21"/>
          <w:highlight w:val="none"/>
        </w:rPr>
        <w:t>。</w:t>
      </w:r>
    </w:p>
    <w:p w14:paraId="6F4FC73E">
      <w:pPr>
        <w:spacing w:line="360" w:lineRule="auto"/>
        <w:ind w:firstLine="420" w:firstLineChars="200"/>
        <w:rPr>
          <w:rFonts w:hint="default" w:ascii="宋体" w:hAnsi="宋体" w:cs="宋体"/>
          <w:color w:val="auto"/>
          <w:szCs w:val="21"/>
          <w:highlight w:val="none"/>
          <w:lang w:val="en-US"/>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项目编号：ZXDL-2026-080</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 xml:space="preserve">       </w:t>
      </w:r>
    </w:p>
    <w:p w14:paraId="58359D4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采购方式：竞争性磋商。</w:t>
      </w:r>
    </w:p>
    <w:p w14:paraId="424CA83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采购需求：溧水区人民医院因资金需求拟办理流动资金贷款</w:t>
      </w:r>
      <w:r>
        <w:rPr>
          <w:rFonts w:hint="eastAsia" w:ascii="宋体" w:hAnsi="宋体" w:cs="宋体"/>
          <w:color w:val="auto"/>
          <w:szCs w:val="21"/>
          <w:highlight w:val="none"/>
          <w:lang w:val="en-US" w:eastAsia="zh-CN"/>
        </w:rPr>
        <w:t>50</w:t>
      </w:r>
      <w:r>
        <w:rPr>
          <w:rFonts w:hint="eastAsia" w:ascii="宋体" w:hAnsi="宋体" w:cs="宋体"/>
          <w:color w:val="auto"/>
          <w:szCs w:val="21"/>
          <w:highlight w:val="none"/>
        </w:rPr>
        <w:t>00万元。</w:t>
      </w:r>
    </w:p>
    <w:p w14:paraId="37A8D57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贷款期限：1年。</w:t>
      </w:r>
    </w:p>
    <w:p w14:paraId="14D41CD5">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二、申请人的资格要求</w:t>
      </w:r>
      <w:bookmarkEnd w:id="0"/>
      <w:bookmarkEnd w:id="1"/>
      <w:bookmarkEnd w:id="2"/>
      <w:bookmarkEnd w:id="3"/>
      <w:bookmarkStart w:id="4" w:name="_Toc35393800"/>
      <w:bookmarkStart w:id="5" w:name="_Toc35393631"/>
      <w:bookmarkStart w:id="6" w:name="_Toc28359014"/>
      <w:bookmarkStart w:id="7" w:name="_Toc28359091"/>
    </w:p>
    <w:p w14:paraId="6AFFDFB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在中华人民共和国境内依法设立，且已在本医院开户的银行。</w:t>
      </w:r>
    </w:p>
    <w:p w14:paraId="1C401D1B">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三、获取磋商文件</w:t>
      </w:r>
      <w:bookmarkEnd w:id="4"/>
      <w:bookmarkEnd w:id="5"/>
      <w:bookmarkEnd w:id="6"/>
      <w:bookmarkEnd w:id="7"/>
    </w:p>
    <w:p w14:paraId="0D65C90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时间：2026年0</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14</w:t>
      </w:r>
      <w:r>
        <w:rPr>
          <w:rFonts w:hint="eastAsia" w:ascii="宋体" w:hAnsi="宋体" w:cs="宋体"/>
          <w:color w:val="auto"/>
          <w:szCs w:val="21"/>
          <w:highlight w:val="none"/>
        </w:rPr>
        <w:t>日至2026年0</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18</w:t>
      </w:r>
      <w:r>
        <w:rPr>
          <w:rFonts w:hint="eastAsia" w:ascii="宋体" w:hAnsi="宋体" w:cs="宋体"/>
          <w:color w:val="auto"/>
          <w:szCs w:val="21"/>
          <w:highlight w:val="none"/>
        </w:rPr>
        <w:t>日，每天上午08:30至11：30，下午14:30至17:00（北京时间，法定节假日除外 ）</w:t>
      </w:r>
    </w:p>
    <w:p w14:paraId="1CBAE8D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地点：南京市溧水区永阳街道温州商贸文化广场停车场内</w:t>
      </w:r>
      <w:r>
        <w:rPr>
          <w:rFonts w:hint="eastAsia" w:ascii="宋体" w:hAnsi="宋体" w:cs="宋体"/>
          <w:color w:val="auto"/>
          <w:szCs w:val="21"/>
          <w:highlight w:val="none"/>
          <w:lang w:eastAsia="zh-CN"/>
        </w:rPr>
        <w:t>钟信工程项目管理咨询（南京）有限公司（</w:t>
      </w:r>
      <w:r>
        <w:rPr>
          <w:rFonts w:hint="eastAsia" w:ascii="宋体" w:hAnsi="宋体" w:cs="宋体"/>
          <w:color w:val="auto"/>
          <w:szCs w:val="21"/>
          <w:highlight w:val="none"/>
          <w:lang w:val="en-US" w:eastAsia="zh-CN"/>
        </w:rPr>
        <w:t>原：</w:t>
      </w:r>
      <w:r>
        <w:rPr>
          <w:rFonts w:hint="eastAsia" w:ascii="宋体" w:hAnsi="宋体" w:cs="宋体"/>
          <w:color w:val="auto"/>
          <w:szCs w:val="21"/>
          <w:highlight w:val="none"/>
          <w:lang w:val="zh-CN"/>
        </w:rPr>
        <w:t>南京中信工程造价有限公司</w:t>
      </w:r>
      <w:r>
        <w:rPr>
          <w:rFonts w:hint="eastAsia" w:ascii="宋体" w:hAnsi="宋体" w:cs="宋体"/>
          <w:color w:val="auto"/>
          <w:szCs w:val="21"/>
          <w:highlight w:val="none"/>
          <w:lang w:eastAsia="zh-CN"/>
        </w:rPr>
        <w:t>）</w:t>
      </w:r>
      <w:r>
        <w:rPr>
          <w:rFonts w:hint="eastAsia" w:ascii="宋体" w:hAnsi="宋体" w:cs="宋体"/>
          <w:color w:val="auto"/>
          <w:szCs w:val="21"/>
          <w:highlight w:val="none"/>
        </w:rPr>
        <w:t>三楼304室</w:t>
      </w:r>
    </w:p>
    <w:p w14:paraId="5FA14B3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cs="宋体"/>
          <w:color w:val="auto"/>
          <w:szCs w:val="21"/>
          <w:highlight w:val="none"/>
        </w:rPr>
        <w:t>方式：需提供法人授权委托书原件，营业执照副本复印件及委托代理人身份证复印件加盖公章或行长签字，至南京市溧水区永阳街道温州商贸文化广场停车场内</w:t>
      </w:r>
      <w:r>
        <w:rPr>
          <w:rFonts w:hint="eastAsia" w:ascii="宋体" w:hAnsi="宋体" w:cs="宋体"/>
          <w:color w:val="auto"/>
          <w:szCs w:val="21"/>
          <w:highlight w:val="none"/>
          <w:lang w:eastAsia="zh-CN"/>
        </w:rPr>
        <w:t>钟信工程项目管理咨询（南京）有限公司（</w:t>
      </w:r>
      <w:r>
        <w:rPr>
          <w:rFonts w:hint="eastAsia" w:ascii="宋体" w:hAnsi="宋体" w:cs="宋体"/>
          <w:color w:val="auto"/>
          <w:szCs w:val="21"/>
          <w:highlight w:val="none"/>
          <w:lang w:val="en-US" w:eastAsia="zh-CN"/>
        </w:rPr>
        <w:t>原：</w:t>
      </w:r>
      <w:r>
        <w:rPr>
          <w:rFonts w:hint="eastAsia" w:ascii="宋体" w:hAnsi="宋体" w:cs="宋体"/>
          <w:color w:val="auto"/>
          <w:szCs w:val="21"/>
          <w:highlight w:val="none"/>
          <w:lang w:val="zh-CN"/>
        </w:rPr>
        <w:t>南京中信工程造价有限公司</w:t>
      </w:r>
      <w:r>
        <w:rPr>
          <w:rFonts w:hint="eastAsia" w:ascii="宋体" w:hAnsi="宋体" w:cs="宋体"/>
          <w:color w:val="auto"/>
          <w:szCs w:val="21"/>
          <w:highlight w:val="none"/>
          <w:lang w:eastAsia="zh-CN"/>
        </w:rPr>
        <w:t>）</w:t>
      </w:r>
      <w:r>
        <w:rPr>
          <w:rFonts w:hint="eastAsia" w:ascii="宋体" w:hAnsi="宋体" w:cs="宋体"/>
          <w:color w:val="auto"/>
          <w:szCs w:val="21"/>
          <w:highlight w:val="none"/>
        </w:rPr>
        <w:t>三楼304室获取竞争性磋商文件</w:t>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"mailto:。（282443784@qq.com"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w:t>
      </w:r>
    </w:p>
    <w:p w14:paraId="53C97D1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邮箱：282443784@qq.com</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邮件主题：项目名称+单位全称+委托人电话</w:t>
      </w:r>
      <w:r>
        <w:rPr>
          <w:rFonts w:hint="eastAsia" w:ascii="宋体" w:hAnsi="宋体" w:eastAsia="宋体" w:cs="宋体"/>
          <w:color w:val="auto"/>
          <w:szCs w:val="21"/>
          <w:highlight w:val="none"/>
          <w:lang w:eastAsia="zh-CN"/>
        </w:rPr>
        <w:t>）</w:t>
      </w:r>
    </w:p>
    <w:p w14:paraId="27AEF96E">
      <w:pPr>
        <w:spacing w:line="360" w:lineRule="auto"/>
        <w:rPr>
          <w:rFonts w:hint="eastAsia" w:ascii="宋体" w:hAnsi="宋体" w:cs="宋体"/>
          <w:b/>
          <w:bCs/>
          <w:color w:val="auto"/>
          <w:szCs w:val="21"/>
          <w:highlight w:val="none"/>
        </w:rPr>
      </w:pPr>
      <w:bookmarkStart w:id="8" w:name="_Toc35393801"/>
      <w:bookmarkStart w:id="9" w:name="_Toc28359092"/>
      <w:bookmarkStart w:id="10" w:name="_Toc28359015"/>
      <w:bookmarkStart w:id="11" w:name="_Toc35393632"/>
      <w:r>
        <w:rPr>
          <w:rFonts w:hint="eastAsia" w:ascii="宋体" w:hAnsi="宋体" w:cs="宋体"/>
          <w:b/>
          <w:bCs/>
          <w:color w:val="auto"/>
          <w:szCs w:val="21"/>
          <w:highlight w:val="none"/>
        </w:rPr>
        <w:t>四、响应文件提交</w:t>
      </w:r>
      <w:bookmarkEnd w:id="8"/>
      <w:bookmarkEnd w:id="9"/>
      <w:bookmarkEnd w:id="10"/>
      <w:bookmarkEnd w:id="11"/>
    </w:p>
    <w:p w14:paraId="4144D78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磋商文件接收截止时间：2026年</w:t>
      </w:r>
      <w:r>
        <w:rPr>
          <w:rFonts w:hint="eastAsia" w:ascii="宋体" w:hAnsi="宋体" w:cs="宋体"/>
          <w:color w:val="auto"/>
          <w:szCs w:val="21"/>
          <w:highlight w:val="none"/>
          <w:lang w:val="en-US" w:eastAsia="zh-CN"/>
        </w:rPr>
        <w:t>09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24</w:t>
      </w:r>
      <w:r>
        <w:rPr>
          <w:rFonts w:hint="eastAsia" w:ascii="宋体" w:hAnsi="宋体" w:cs="宋体"/>
          <w:color w:val="auto"/>
          <w:szCs w:val="21"/>
          <w:highlight w:val="none"/>
        </w:rPr>
        <w:t>日</w:t>
      </w:r>
      <w:r>
        <w:rPr>
          <w:rFonts w:hint="eastAsia" w:ascii="宋体" w:hAnsi="宋体" w:cs="宋体"/>
          <w:color w:val="auto"/>
          <w:szCs w:val="21"/>
          <w:highlight w:val="none"/>
          <w:lang w:val="en-US" w:eastAsia="zh-CN"/>
        </w:rPr>
        <w:t>09</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0（北京时间）</w:t>
      </w:r>
    </w:p>
    <w:p w14:paraId="66BFF71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地点：南京市溧水区永阳街道温州商贸文化广场停车场内</w:t>
      </w:r>
      <w:r>
        <w:rPr>
          <w:rFonts w:hint="eastAsia" w:ascii="宋体" w:hAnsi="宋体" w:cs="宋体"/>
          <w:color w:val="auto"/>
          <w:szCs w:val="21"/>
          <w:highlight w:val="none"/>
          <w:lang w:eastAsia="zh-CN"/>
        </w:rPr>
        <w:t>钟信工程项目管理咨询（南京）有限公司（</w:t>
      </w:r>
      <w:r>
        <w:rPr>
          <w:rFonts w:hint="eastAsia" w:ascii="宋体" w:hAnsi="宋体" w:cs="宋体"/>
          <w:color w:val="auto"/>
          <w:szCs w:val="21"/>
          <w:highlight w:val="none"/>
          <w:lang w:val="en-US" w:eastAsia="zh-CN"/>
        </w:rPr>
        <w:t>原：</w:t>
      </w:r>
      <w:r>
        <w:rPr>
          <w:rFonts w:hint="eastAsia" w:ascii="宋体" w:hAnsi="宋体" w:cs="宋体"/>
          <w:color w:val="auto"/>
          <w:szCs w:val="21"/>
          <w:highlight w:val="none"/>
          <w:lang w:val="zh-CN"/>
        </w:rPr>
        <w:t>南京中信工程造价有限公司</w:t>
      </w:r>
      <w:r>
        <w:rPr>
          <w:rFonts w:hint="eastAsia" w:ascii="宋体" w:hAnsi="宋体" w:cs="宋体"/>
          <w:color w:val="auto"/>
          <w:szCs w:val="21"/>
          <w:highlight w:val="none"/>
          <w:lang w:eastAsia="zh-CN"/>
        </w:rPr>
        <w:t>）</w:t>
      </w:r>
      <w:r>
        <w:rPr>
          <w:rFonts w:hint="eastAsia" w:ascii="宋体" w:hAnsi="宋体" w:cs="宋体"/>
          <w:color w:val="auto"/>
          <w:szCs w:val="21"/>
          <w:highlight w:val="none"/>
        </w:rPr>
        <w:t>三楼303会议室</w:t>
      </w:r>
    </w:p>
    <w:p w14:paraId="6FA47098">
      <w:pPr>
        <w:spacing w:line="360" w:lineRule="auto"/>
        <w:rPr>
          <w:rFonts w:hint="eastAsia" w:ascii="宋体" w:hAnsi="宋体" w:cs="宋体"/>
          <w:b/>
          <w:bCs/>
          <w:color w:val="auto"/>
          <w:szCs w:val="21"/>
          <w:highlight w:val="none"/>
        </w:rPr>
      </w:pPr>
      <w:bookmarkStart w:id="12" w:name="_Toc35393633"/>
      <w:bookmarkStart w:id="13" w:name="_Toc28359093"/>
      <w:bookmarkStart w:id="14" w:name="_Toc35393802"/>
      <w:bookmarkStart w:id="15" w:name="_Toc28359016"/>
      <w:r>
        <w:rPr>
          <w:rFonts w:hint="eastAsia" w:ascii="宋体" w:hAnsi="宋体" w:cs="宋体"/>
          <w:b/>
          <w:bCs/>
          <w:color w:val="auto"/>
          <w:szCs w:val="21"/>
          <w:highlight w:val="none"/>
        </w:rPr>
        <w:t>五、响应文件开启</w:t>
      </w:r>
      <w:bookmarkEnd w:id="12"/>
      <w:bookmarkEnd w:id="13"/>
      <w:bookmarkEnd w:id="14"/>
      <w:bookmarkEnd w:id="15"/>
    </w:p>
    <w:p w14:paraId="70C5692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时间：2026年</w:t>
      </w:r>
      <w:r>
        <w:rPr>
          <w:rFonts w:hint="eastAsia" w:ascii="宋体" w:hAnsi="宋体" w:cs="宋体"/>
          <w:color w:val="auto"/>
          <w:szCs w:val="21"/>
          <w:highlight w:val="none"/>
          <w:lang w:val="en-US" w:eastAsia="zh-CN"/>
        </w:rPr>
        <w:t>09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24</w:t>
      </w:r>
      <w:r>
        <w:rPr>
          <w:rFonts w:hint="eastAsia" w:ascii="宋体" w:hAnsi="宋体" w:cs="宋体"/>
          <w:color w:val="auto"/>
          <w:szCs w:val="21"/>
          <w:highlight w:val="none"/>
        </w:rPr>
        <w:t>日</w:t>
      </w:r>
      <w:r>
        <w:rPr>
          <w:rFonts w:hint="eastAsia" w:ascii="宋体" w:hAnsi="宋体" w:cs="宋体"/>
          <w:color w:val="auto"/>
          <w:szCs w:val="21"/>
          <w:highlight w:val="none"/>
          <w:lang w:val="en-US" w:eastAsia="zh-CN"/>
        </w:rPr>
        <w:t>09</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0（北京时间）</w:t>
      </w:r>
    </w:p>
    <w:p w14:paraId="117DDEB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地点：南京市溧水区永阳街道温州商贸文化广场停车场内</w:t>
      </w:r>
      <w:r>
        <w:rPr>
          <w:rFonts w:hint="eastAsia" w:ascii="宋体" w:hAnsi="宋体" w:cs="宋体"/>
          <w:color w:val="auto"/>
          <w:szCs w:val="21"/>
          <w:highlight w:val="none"/>
          <w:lang w:eastAsia="zh-CN"/>
        </w:rPr>
        <w:t>钟信工程项目管理咨询（南京）有限公司（</w:t>
      </w:r>
      <w:r>
        <w:rPr>
          <w:rFonts w:hint="eastAsia" w:ascii="宋体" w:hAnsi="宋体" w:cs="宋体"/>
          <w:color w:val="auto"/>
          <w:szCs w:val="21"/>
          <w:highlight w:val="none"/>
          <w:lang w:val="en-US" w:eastAsia="zh-CN"/>
        </w:rPr>
        <w:t>原：</w:t>
      </w:r>
      <w:r>
        <w:rPr>
          <w:rFonts w:hint="eastAsia" w:ascii="宋体" w:hAnsi="宋体" w:cs="宋体"/>
          <w:color w:val="auto"/>
          <w:szCs w:val="21"/>
          <w:highlight w:val="none"/>
          <w:lang w:val="zh-CN"/>
        </w:rPr>
        <w:t>南京中信工程造价有限公司</w:t>
      </w:r>
      <w:r>
        <w:rPr>
          <w:rFonts w:hint="eastAsia" w:ascii="宋体" w:hAnsi="宋体" w:cs="宋体"/>
          <w:color w:val="auto"/>
          <w:szCs w:val="21"/>
          <w:highlight w:val="none"/>
          <w:lang w:eastAsia="zh-CN"/>
        </w:rPr>
        <w:t>）</w:t>
      </w:r>
      <w:r>
        <w:rPr>
          <w:rFonts w:hint="eastAsia" w:ascii="宋体" w:hAnsi="宋体" w:cs="宋体"/>
          <w:color w:val="auto"/>
          <w:szCs w:val="21"/>
          <w:highlight w:val="none"/>
        </w:rPr>
        <w:t>三楼303会议室</w:t>
      </w:r>
    </w:p>
    <w:p w14:paraId="52933E56">
      <w:pPr>
        <w:spacing w:line="360" w:lineRule="auto"/>
        <w:rPr>
          <w:rFonts w:hint="eastAsia" w:ascii="宋体" w:hAnsi="宋体" w:cs="宋体"/>
          <w:b/>
          <w:bCs/>
          <w:color w:val="auto"/>
          <w:szCs w:val="21"/>
          <w:highlight w:val="none"/>
        </w:rPr>
      </w:pPr>
      <w:bookmarkStart w:id="16" w:name="_Toc28359094"/>
      <w:bookmarkStart w:id="17" w:name="_Toc35393634"/>
      <w:bookmarkStart w:id="18" w:name="_Toc35393803"/>
      <w:bookmarkStart w:id="19" w:name="_Toc28359017"/>
      <w:r>
        <w:rPr>
          <w:rFonts w:hint="eastAsia" w:ascii="宋体" w:hAnsi="宋体" w:cs="宋体"/>
          <w:b/>
          <w:bCs/>
          <w:color w:val="auto"/>
          <w:szCs w:val="21"/>
          <w:highlight w:val="none"/>
        </w:rPr>
        <w:t>六、公告期限</w:t>
      </w:r>
      <w:bookmarkEnd w:id="16"/>
      <w:bookmarkEnd w:id="17"/>
      <w:bookmarkEnd w:id="18"/>
      <w:bookmarkEnd w:id="19"/>
    </w:p>
    <w:p w14:paraId="01FBEC5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自本公告发布之日起5个工作日</w:t>
      </w:r>
    </w:p>
    <w:p w14:paraId="38E6E1E3">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七</w:t>
      </w:r>
      <w:r>
        <w:rPr>
          <w:rFonts w:ascii="宋体" w:hAnsi="宋体" w:cs="宋体"/>
          <w:b/>
          <w:bCs/>
          <w:color w:val="auto"/>
          <w:szCs w:val="21"/>
          <w:highlight w:val="none"/>
        </w:rPr>
        <w:t>、</w:t>
      </w:r>
      <w:r>
        <w:rPr>
          <w:rFonts w:hint="eastAsia" w:ascii="宋体" w:hAnsi="宋体" w:cs="宋体"/>
          <w:b/>
          <w:bCs/>
          <w:color w:val="auto"/>
          <w:szCs w:val="21"/>
          <w:highlight w:val="none"/>
        </w:rPr>
        <w:t>其他补充事宜</w:t>
      </w:r>
    </w:p>
    <w:p w14:paraId="53285B3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拒绝下述供应商参加本次采购活动：</w:t>
      </w:r>
    </w:p>
    <w:p w14:paraId="2D2285E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）供应商单位负责人为同一人或者存在直接控股、管理关系的不同供应商，不得参加同一合同项下的政府采购活动。</w:t>
      </w:r>
    </w:p>
    <w:p w14:paraId="332F68A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）凡为采购项目提供整体设计、规范编制或者项目管理、监理、检测等服务的供应商，不得再参加本项目的采购活动。</w:t>
      </w:r>
    </w:p>
    <w:p w14:paraId="467D04E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）供应商被“信用中国”网站（www.creditchina.gov.cn）、“中国政府采购网"(www.ccgp.gov.cn)等渠道列入失信被执行人、重大税收违法案件当事人名单、政府采购严重违法失信行为记录名单。</w:t>
      </w:r>
    </w:p>
    <w:p w14:paraId="1C70255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w:t>
      </w:r>
      <w:r>
        <w:rPr>
          <w:rFonts w:ascii="宋体" w:hAnsi="宋体" w:cs="宋体"/>
          <w:color w:val="auto"/>
          <w:szCs w:val="21"/>
          <w:highlight w:val="none"/>
        </w:rPr>
        <w:t>本项目采用现场</w:t>
      </w:r>
      <w:r>
        <w:rPr>
          <w:rFonts w:hint="eastAsia" w:ascii="宋体" w:hAnsi="宋体" w:cs="宋体"/>
          <w:color w:val="auto"/>
          <w:szCs w:val="21"/>
          <w:highlight w:val="none"/>
        </w:rPr>
        <w:t>磋商</w:t>
      </w:r>
      <w:r>
        <w:rPr>
          <w:rFonts w:ascii="宋体" w:hAnsi="宋体" w:cs="宋体"/>
          <w:color w:val="auto"/>
          <w:szCs w:val="21"/>
          <w:highlight w:val="none"/>
        </w:rPr>
        <w:t>方式，</w:t>
      </w:r>
      <w:r>
        <w:rPr>
          <w:rFonts w:hint="eastAsia" w:ascii="宋体" w:hAnsi="宋体" w:cs="宋体"/>
          <w:color w:val="auto"/>
          <w:szCs w:val="21"/>
          <w:highlight w:val="none"/>
        </w:rPr>
        <w:t>磋商</w:t>
      </w:r>
      <w:r>
        <w:rPr>
          <w:rFonts w:ascii="宋体" w:hAnsi="宋体" w:cs="宋体"/>
          <w:color w:val="auto"/>
          <w:szCs w:val="21"/>
          <w:highlight w:val="none"/>
        </w:rPr>
        <w:t>时各银行需到</w:t>
      </w:r>
      <w:r>
        <w:rPr>
          <w:rFonts w:hint="eastAsia" w:ascii="宋体" w:hAnsi="宋体" w:cs="宋体"/>
          <w:color w:val="auto"/>
          <w:szCs w:val="21"/>
          <w:highlight w:val="none"/>
        </w:rPr>
        <w:t>磋商</w:t>
      </w:r>
      <w:r>
        <w:rPr>
          <w:rFonts w:ascii="宋体" w:hAnsi="宋体" w:cs="宋体"/>
          <w:color w:val="auto"/>
          <w:szCs w:val="21"/>
          <w:highlight w:val="none"/>
        </w:rPr>
        <w:t>现场递交响应文件，并在响应文件递交及开启截止时间前现场递交，否则响应文件不予接收。</w:t>
      </w:r>
    </w:p>
    <w:p w14:paraId="64972774">
      <w:pPr>
        <w:wordWrap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w:t>
      </w:r>
      <w:r>
        <w:rPr>
          <w:rFonts w:ascii="宋体" w:hAnsi="宋体" w:cs="宋体"/>
          <w:color w:val="auto"/>
          <w:szCs w:val="21"/>
          <w:highlight w:val="none"/>
        </w:rPr>
        <w:t>有关本次</w:t>
      </w:r>
      <w:r>
        <w:rPr>
          <w:rFonts w:hint="eastAsia" w:ascii="宋体" w:hAnsi="宋体" w:cs="宋体"/>
          <w:color w:val="auto"/>
          <w:szCs w:val="21"/>
          <w:highlight w:val="none"/>
        </w:rPr>
        <w:t>磋商</w:t>
      </w:r>
      <w:r>
        <w:rPr>
          <w:rFonts w:ascii="宋体" w:hAnsi="宋体" w:cs="宋体"/>
          <w:color w:val="auto"/>
          <w:szCs w:val="21"/>
          <w:highlight w:val="none"/>
        </w:rPr>
        <w:t>的事项若存在变动或修改，敬请及时关注“</w:t>
      </w:r>
      <w:r>
        <w:rPr>
          <w:rFonts w:hint="eastAsia" w:ascii="宋体" w:hAnsi="宋体" w:cs="宋体"/>
          <w:color w:val="auto"/>
          <w:szCs w:val="21"/>
          <w:highlight w:val="none"/>
        </w:rPr>
        <w:t>南京市溧水区人民医院</w:t>
      </w:r>
      <w:r>
        <w:rPr>
          <w:rFonts w:ascii="宋体" w:hAnsi="宋体" w:cs="宋体"/>
          <w:color w:val="auto"/>
          <w:szCs w:val="21"/>
          <w:highlight w:val="none"/>
        </w:rPr>
        <w:t>http://lsqzyy.cn/”</w:t>
      </w:r>
      <w:r>
        <w:rPr>
          <w:rFonts w:hint="eastAsia" w:ascii="宋体" w:hAnsi="宋体" w:cs="宋体"/>
          <w:color w:val="auto"/>
          <w:szCs w:val="21"/>
          <w:highlight w:val="none"/>
          <w:lang w:eastAsia="zh-CN"/>
        </w:rPr>
        <w:t>、</w:t>
      </w:r>
      <w:r>
        <w:rPr>
          <w:rFonts w:hint="eastAsia" w:ascii="宋体" w:hAnsi="宋体" w:cs="宋体"/>
          <w:color w:val="auto"/>
          <w:szCs w:val="21"/>
          <w:highlight w:val="none"/>
        </w:rPr>
        <w:t>“江苏招标</w:t>
      </w:r>
      <w:r>
        <w:rPr>
          <w:rFonts w:hint="eastAsia" w:ascii="宋体" w:hAnsi="宋体" w:cs="宋体"/>
          <w:color w:val="auto"/>
          <w:szCs w:val="21"/>
          <w:highlight w:val="none"/>
          <w:lang w:val="en-US" w:eastAsia="zh-CN"/>
        </w:rPr>
        <w:t>采购</w:t>
      </w:r>
      <w:r>
        <w:rPr>
          <w:rFonts w:hint="eastAsia" w:ascii="宋体" w:hAnsi="宋体" w:cs="宋体"/>
          <w:color w:val="auto"/>
          <w:szCs w:val="21"/>
          <w:highlight w:val="none"/>
        </w:rPr>
        <w:t>服务平台https://www.jszbcg.com/#/newindex”</w:t>
      </w:r>
      <w:r>
        <w:rPr>
          <w:rFonts w:ascii="宋体" w:hAnsi="宋体" w:cs="宋体"/>
          <w:color w:val="auto"/>
          <w:szCs w:val="21"/>
          <w:highlight w:val="none"/>
        </w:rPr>
        <w:t>发布的信息更正公告。</w:t>
      </w:r>
    </w:p>
    <w:p w14:paraId="4503330E">
      <w:pPr>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八、对本次磋商提出询问，请按以下方式联系</w:t>
      </w:r>
    </w:p>
    <w:p w14:paraId="7FF2BBC4">
      <w:pPr>
        <w:spacing w:line="360" w:lineRule="auto"/>
        <w:ind w:firstLine="420" w:firstLineChars="200"/>
        <w:rPr>
          <w:rFonts w:hint="eastAsia" w:ascii="宋体" w:hAnsi="宋体" w:cs="宋体"/>
          <w:color w:val="auto"/>
          <w:szCs w:val="21"/>
          <w:highlight w:val="none"/>
        </w:rPr>
      </w:pPr>
      <w:bookmarkStart w:id="20" w:name="_Toc28359096"/>
      <w:bookmarkStart w:id="21" w:name="_Toc35393637"/>
      <w:bookmarkStart w:id="22" w:name="_Toc28359019"/>
      <w:bookmarkStart w:id="23" w:name="_Toc35393806"/>
      <w:r>
        <w:rPr>
          <w:rFonts w:ascii="宋体" w:hAnsi="宋体" w:cs="宋体"/>
          <w:color w:val="auto"/>
          <w:szCs w:val="21"/>
          <w:highlight w:val="none"/>
        </w:rPr>
        <w:t>1.院方信息</w:t>
      </w:r>
      <w:bookmarkEnd w:id="20"/>
      <w:bookmarkEnd w:id="21"/>
      <w:bookmarkEnd w:id="22"/>
      <w:bookmarkEnd w:id="23"/>
    </w:p>
    <w:p w14:paraId="5E505932">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名    称：</w:t>
      </w:r>
      <w:r>
        <w:rPr>
          <w:rFonts w:hint="eastAsia" w:ascii="宋体" w:hAnsi="宋体" w:cs="宋体"/>
          <w:color w:val="auto"/>
          <w:szCs w:val="21"/>
          <w:highlight w:val="none"/>
        </w:rPr>
        <w:t>南京市溧水区人民医院</w:t>
      </w:r>
    </w:p>
    <w:p w14:paraId="65B0916D">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地    址：南京市溧水区永阳街道崇文路86号</w:t>
      </w:r>
    </w:p>
    <w:p w14:paraId="2216E28D">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联系方式：</w:t>
      </w:r>
      <w:r>
        <w:rPr>
          <w:rFonts w:hint="eastAsia" w:ascii="宋体" w:hAnsi="宋体" w:cs="宋体"/>
          <w:color w:val="auto"/>
          <w:szCs w:val="21"/>
          <w:highlight w:val="none"/>
        </w:rPr>
        <w:t>秦老师025-56232160</w:t>
      </w:r>
      <w:r>
        <w:rPr>
          <w:rFonts w:ascii="宋体" w:hAnsi="宋体" w:cs="宋体"/>
          <w:color w:val="auto"/>
          <w:szCs w:val="21"/>
          <w:highlight w:val="none"/>
        </w:rPr>
        <w:t xml:space="preserve"> </w:t>
      </w:r>
    </w:p>
    <w:p w14:paraId="24474F80">
      <w:pPr>
        <w:spacing w:line="360" w:lineRule="auto"/>
        <w:ind w:firstLine="420" w:firstLineChars="200"/>
        <w:rPr>
          <w:rFonts w:hint="eastAsia" w:ascii="宋体" w:hAnsi="宋体" w:cs="宋体"/>
          <w:color w:val="auto"/>
          <w:szCs w:val="21"/>
          <w:highlight w:val="none"/>
        </w:rPr>
      </w:pPr>
      <w:bookmarkStart w:id="24" w:name="_Toc35393807"/>
      <w:bookmarkStart w:id="25" w:name="_Toc28359020"/>
      <w:bookmarkStart w:id="26" w:name="_Toc28359097"/>
      <w:bookmarkStart w:id="27" w:name="_Toc35393638"/>
      <w:r>
        <w:rPr>
          <w:rFonts w:ascii="宋体" w:hAnsi="宋体" w:cs="宋体"/>
          <w:color w:val="auto"/>
          <w:szCs w:val="21"/>
          <w:highlight w:val="none"/>
        </w:rPr>
        <w:t>2.代理机构信息</w:t>
      </w:r>
      <w:bookmarkEnd w:id="24"/>
      <w:bookmarkEnd w:id="25"/>
      <w:bookmarkEnd w:id="26"/>
      <w:bookmarkEnd w:id="27"/>
    </w:p>
    <w:p w14:paraId="73C95290">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名    称：</w:t>
      </w:r>
      <w:r>
        <w:rPr>
          <w:rFonts w:hint="eastAsia" w:ascii="宋体" w:hAnsi="宋体" w:cs="宋体"/>
          <w:color w:val="auto"/>
          <w:szCs w:val="21"/>
          <w:highlight w:val="none"/>
          <w:lang w:eastAsia="zh-CN"/>
        </w:rPr>
        <w:t>钟信工程项目管理咨询（南京）有限公司</w:t>
      </w:r>
      <w:r>
        <w:rPr>
          <w:rFonts w:ascii="宋体" w:hAnsi="宋体" w:cs="宋体"/>
          <w:color w:val="auto"/>
          <w:szCs w:val="21"/>
          <w:highlight w:val="none"/>
        </w:rPr>
        <w:t>　</w:t>
      </w:r>
    </w:p>
    <w:p w14:paraId="0572B9CC">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地　　址：南京市溧水区永阳街道温州商贸文化广场停车场内</w:t>
      </w:r>
      <w:r>
        <w:rPr>
          <w:rFonts w:hint="eastAsia" w:ascii="宋体" w:hAnsi="宋体" w:cs="宋体"/>
          <w:color w:val="auto"/>
          <w:szCs w:val="21"/>
          <w:highlight w:val="none"/>
          <w:lang w:eastAsia="zh-CN"/>
        </w:rPr>
        <w:t>钟信工程项目管理咨询（南京）有限公司</w:t>
      </w:r>
      <w:r>
        <w:rPr>
          <w:rFonts w:ascii="宋体" w:hAnsi="宋体" w:cs="宋体"/>
          <w:color w:val="auto"/>
          <w:szCs w:val="21"/>
          <w:highlight w:val="none"/>
        </w:rPr>
        <w:t>三楼304室</w:t>
      </w:r>
    </w:p>
    <w:p w14:paraId="37914190">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联系方式：李晓婉18751855767</w:t>
      </w:r>
    </w:p>
    <w:p w14:paraId="16F5AA91">
      <w:pPr>
        <w:spacing w:line="360" w:lineRule="auto"/>
        <w:ind w:firstLine="420" w:firstLineChars="200"/>
        <w:rPr>
          <w:rFonts w:hint="eastAsia" w:ascii="宋体" w:hAnsi="宋体" w:cs="宋体"/>
          <w:color w:val="auto"/>
          <w:szCs w:val="21"/>
          <w:highlight w:val="none"/>
        </w:rPr>
      </w:pPr>
      <w:bookmarkStart w:id="28" w:name="_Toc28359098"/>
      <w:bookmarkStart w:id="29" w:name="_Toc35393808"/>
      <w:bookmarkStart w:id="30" w:name="_Toc28359021"/>
      <w:bookmarkStart w:id="31" w:name="_Toc35393639"/>
      <w:r>
        <w:rPr>
          <w:rFonts w:ascii="宋体" w:hAnsi="宋体" w:cs="宋体"/>
          <w:color w:val="auto"/>
          <w:szCs w:val="21"/>
          <w:highlight w:val="none"/>
        </w:rPr>
        <w:t>3.项目联系方式</w:t>
      </w:r>
      <w:bookmarkEnd w:id="28"/>
      <w:bookmarkEnd w:id="29"/>
      <w:bookmarkEnd w:id="30"/>
      <w:bookmarkEnd w:id="31"/>
    </w:p>
    <w:p w14:paraId="4602A859">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项目联系人：</w:t>
      </w:r>
      <w:r>
        <w:rPr>
          <w:rFonts w:hint="eastAsia" w:ascii="宋体" w:hAnsi="宋体" w:cs="宋体"/>
          <w:color w:val="auto"/>
          <w:szCs w:val="21"/>
          <w:highlight w:val="none"/>
        </w:rPr>
        <w:t>秦老师</w:t>
      </w:r>
      <w:r>
        <w:rPr>
          <w:rFonts w:ascii="宋体" w:hAnsi="宋体" w:cs="宋体"/>
          <w:color w:val="auto"/>
          <w:szCs w:val="21"/>
          <w:highlight w:val="none"/>
        </w:rPr>
        <w:t>、李晓婉</w:t>
      </w:r>
    </w:p>
    <w:p w14:paraId="7AB2A027">
      <w:pPr>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电　　 话：</w:t>
      </w:r>
      <w:r>
        <w:rPr>
          <w:rFonts w:hint="eastAsia" w:ascii="宋体" w:hAnsi="宋体" w:cs="宋体"/>
          <w:color w:val="auto"/>
          <w:szCs w:val="21"/>
          <w:highlight w:val="none"/>
        </w:rPr>
        <w:t>025-56232160</w:t>
      </w:r>
      <w:r>
        <w:rPr>
          <w:rFonts w:ascii="宋体" w:hAnsi="宋体" w:cs="宋体"/>
          <w:color w:val="auto"/>
          <w:szCs w:val="21"/>
          <w:highlight w:val="none"/>
        </w:rPr>
        <w:t>、18751855767</w:t>
      </w:r>
    </w:p>
    <w:p w14:paraId="72D713B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br w:type="page"/>
      </w:r>
    </w:p>
    <w:p w14:paraId="1DF0E0F6">
      <w:pPr>
        <w:pStyle w:val="3"/>
        <w:jc w:val="center"/>
        <w:rPr>
          <w:color w:val="auto"/>
          <w:highlight w:val="none"/>
        </w:rPr>
      </w:pPr>
      <w:r>
        <w:rPr>
          <w:rFonts w:hint="eastAsia"/>
          <w:color w:val="auto"/>
          <w:highlight w:val="none"/>
        </w:rPr>
        <w:t>第二部分  竞争性磋商文件</w:t>
      </w:r>
    </w:p>
    <w:p w14:paraId="53286977">
      <w:pPr>
        <w:pStyle w:val="4"/>
        <w:numPr>
          <w:ilvl w:val="0"/>
          <w:numId w:val="0"/>
        </w:numPr>
        <w:jc w:val="center"/>
        <w:rPr>
          <w:rFonts w:hint="eastAsia" w:ascii="宋体" w:hAnsi="宋体" w:eastAsia="宋体"/>
          <w:color w:val="auto"/>
          <w:highlight w:val="none"/>
        </w:rPr>
      </w:pPr>
      <w:r>
        <w:rPr>
          <w:rFonts w:hint="eastAsia" w:ascii="宋体" w:hAnsi="宋体" w:eastAsia="宋体"/>
          <w:color w:val="auto"/>
          <w:highlight w:val="none"/>
        </w:rPr>
        <w:t>一、前附表</w:t>
      </w:r>
    </w:p>
    <w:tbl>
      <w:tblPr>
        <w:tblStyle w:val="23"/>
        <w:tblW w:w="930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45"/>
        <w:gridCol w:w="8355"/>
      </w:tblGrid>
      <w:tr w14:paraId="4D012D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3" w:hRule="atLeast"/>
        </w:trPr>
        <w:tc>
          <w:tcPr>
            <w:tcW w:w="945" w:type="dxa"/>
            <w:tcBorders>
              <w:top w:val="single" w:color="000000" w:sz="4" w:space="0"/>
              <w:bottom w:val="single" w:color="000000" w:sz="4" w:space="0"/>
              <w:right w:val="single" w:color="auto" w:sz="4" w:space="0"/>
            </w:tcBorders>
            <w:vAlign w:val="center"/>
          </w:tcPr>
          <w:p w14:paraId="1A9339A1">
            <w:pPr>
              <w:spacing w:line="360" w:lineRule="auto"/>
              <w:jc w:val="center"/>
              <w:rPr>
                <w:rFonts w:hint="eastAsia" w:ascii="宋体" w:hAnsi="宋体"/>
                <w:color w:val="auto"/>
                <w:szCs w:val="21"/>
                <w:highlight w:val="none"/>
              </w:rPr>
            </w:pPr>
            <w:r>
              <w:rPr>
                <w:rFonts w:hint="eastAsia" w:ascii="宋体" w:hAnsi="宋体"/>
                <w:color w:val="auto"/>
                <w:szCs w:val="21"/>
                <w:highlight w:val="none"/>
              </w:rPr>
              <w:t>序号</w:t>
            </w:r>
          </w:p>
        </w:tc>
        <w:tc>
          <w:tcPr>
            <w:tcW w:w="8355" w:type="dxa"/>
            <w:tcBorders>
              <w:top w:val="single" w:color="000000" w:sz="4" w:space="0"/>
              <w:left w:val="single" w:color="auto" w:sz="4" w:space="0"/>
              <w:bottom w:val="single" w:color="000000" w:sz="4" w:space="0"/>
            </w:tcBorders>
            <w:vAlign w:val="center"/>
          </w:tcPr>
          <w:p w14:paraId="662B7106">
            <w:pPr>
              <w:spacing w:line="360" w:lineRule="auto"/>
              <w:jc w:val="center"/>
              <w:rPr>
                <w:rFonts w:hint="eastAsia" w:ascii="宋体" w:hAnsi="宋体"/>
                <w:color w:val="auto"/>
                <w:szCs w:val="21"/>
                <w:highlight w:val="none"/>
              </w:rPr>
            </w:pPr>
            <w:r>
              <w:rPr>
                <w:rFonts w:hint="eastAsia" w:ascii="宋体" w:hAnsi="宋体"/>
                <w:color w:val="auto"/>
                <w:szCs w:val="21"/>
                <w:highlight w:val="none"/>
              </w:rPr>
              <w:t>内      容</w:t>
            </w:r>
          </w:p>
        </w:tc>
      </w:tr>
      <w:tr w14:paraId="0997CD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45" w:type="dxa"/>
            <w:tcBorders>
              <w:top w:val="single" w:color="000000" w:sz="4" w:space="0"/>
              <w:bottom w:val="single" w:color="000000" w:sz="4" w:space="0"/>
              <w:right w:val="single" w:color="auto" w:sz="4" w:space="0"/>
            </w:tcBorders>
            <w:vAlign w:val="center"/>
          </w:tcPr>
          <w:p w14:paraId="671E4495">
            <w:pPr>
              <w:spacing w:line="360" w:lineRule="auto"/>
              <w:jc w:val="center"/>
              <w:rPr>
                <w:rFonts w:hint="eastAsia" w:ascii="宋体" w:hAnsi="宋体"/>
                <w:color w:val="auto"/>
                <w:szCs w:val="21"/>
                <w:highlight w:val="none"/>
              </w:rPr>
            </w:pPr>
            <w:r>
              <w:rPr>
                <w:rFonts w:hint="eastAsia" w:ascii="宋体" w:hAnsi="宋体"/>
                <w:color w:val="auto"/>
                <w:szCs w:val="21"/>
                <w:highlight w:val="none"/>
              </w:rPr>
              <w:t>1</w:t>
            </w:r>
          </w:p>
        </w:tc>
        <w:tc>
          <w:tcPr>
            <w:tcW w:w="8355" w:type="dxa"/>
            <w:tcBorders>
              <w:top w:val="single" w:color="000000" w:sz="4" w:space="0"/>
              <w:left w:val="single" w:color="auto" w:sz="4" w:space="0"/>
              <w:bottom w:val="single" w:color="000000" w:sz="4" w:space="0"/>
            </w:tcBorders>
            <w:vAlign w:val="center"/>
          </w:tcPr>
          <w:p w14:paraId="7C154667">
            <w:pPr>
              <w:spacing w:line="360" w:lineRule="auto"/>
              <w:rPr>
                <w:rFonts w:hint="eastAsia" w:ascii="宋体" w:hAnsi="宋体" w:eastAsia="宋体"/>
                <w:color w:val="auto"/>
                <w:szCs w:val="21"/>
                <w:highlight w:val="none"/>
                <w:lang w:eastAsia="zh-CN"/>
              </w:rPr>
            </w:pPr>
            <w:r>
              <w:rPr>
                <w:rFonts w:hint="eastAsia" w:ascii="宋体" w:hAnsi="宋体"/>
                <w:b/>
                <w:bCs/>
                <w:color w:val="auto"/>
                <w:szCs w:val="21"/>
                <w:highlight w:val="none"/>
              </w:rPr>
              <w:t>项目名称：</w:t>
            </w:r>
            <w:r>
              <w:rPr>
                <w:rFonts w:hint="eastAsia" w:ascii="宋体" w:hAnsi="宋体"/>
                <w:color w:val="auto"/>
                <w:szCs w:val="21"/>
                <w:highlight w:val="none"/>
                <w:lang w:eastAsia="zh-CN"/>
              </w:rPr>
              <w:t>南京市溧水区人民医院2026年第二批银行贷款项目</w:t>
            </w:r>
          </w:p>
        </w:tc>
      </w:tr>
      <w:tr w14:paraId="7B744E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45" w:type="dxa"/>
            <w:tcBorders>
              <w:top w:val="single" w:color="000000" w:sz="4" w:space="0"/>
              <w:bottom w:val="single" w:color="000000" w:sz="4" w:space="0"/>
              <w:right w:val="single" w:color="000000" w:sz="4" w:space="0"/>
            </w:tcBorders>
            <w:vAlign w:val="center"/>
          </w:tcPr>
          <w:p w14:paraId="60E3DED2">
            <w:pPr>
              <w:spacing w:line="360" w:lineRule="auto"/>
              <w:jc w:val="center"/>
              <w:rPr>
                <w:rFonts w:hint="eastAsia" w:ascii="宋体" w:hAnsi="宋体"/>
                <w:color w:val="auto"/>
                <w:szCs w:val="21"/>
                <w:highlight w:val="none"/>
              </w:rPr>
            </w:pPr>
            <w:r>
              <w:rPr>
                <w:rFonts w:hint="eastAsia" w:ascii="宋体" w:hAnsi="宋体"/>
                <w:color w:val="auto"/>
                <w:szCs w:val="21"/>
                <w:highlight w:val="none"/>
              </w:rPr>
              <w:t>2</w:t>
            </w:r>
          </w:p>
        </w:tc>
        <w:tc>
          <w:tcPr>
            <w:tcW w:w="8355" w:type="dxa"/>
            <w:tcBorders>
              <w:top w:val="single" w:color="000000" w:sz="4" w:space="0"/>
              <w:left w:val="single" w:color="000000" w:sz="4" w:space="0"/>
              <w:bottom w:val="single" w:color="000000" w:sz="4" w:space="0"/>
              <w:right w:val="single" w:color="000000" w:sz="4" w:space="0"/>
            </w:tcBorders>
            <w:vAlign w:val="center"/>
          </w:tcPr>
          <w:p w14:paraId="74573160">
            <w:pPr>
              <w:spacing w:line="360" w:lineRule="auto"/>
              <w:jc w:val="left"/>
              <w:rPr>
                <w:rFonts w:hint="eastAsia" w:ascii="宋体" w:hAnsi="宋体"/>
                <w:color w:val="auto"/>
                <w:szCs w:val="21"/>
                <w:highlight w:val="none"/>
              </w:rPr>
            </w:pPr>
            <w:r>
              <w:rPr>
                <w:rFonts w:hint="eastAsia" w:ascii="宋体" w:hAnsi="宋体"/>
                <w:b/>
                <w:bCs/>
                <w:color w:val="auto"/>
                <w:szCs w:val="21"/>
                <w:highlight w:val="none"/>
              </w:rPr>
              <w:t>院方：</w:t>
            </w:r>
            <w:r>
              <w:rPr>
                <w:rFonts w:hint="eastAsia" w:ascii="宋体" w:hAnsi="宋体" w:cs="宋体"/>
                <w:color w:val="auto"/>
                <w:szCs w:val="21"/>
                <w:highlight w:val="none"/>
              </w:rPr>
              <w:t>南京市溧水区人民医院</w:t>
            </w:r>
          </w:p>
        </w:tc>
      </w:tr>
      <w:tr w14:paraId="4C709D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45" w:type="dxa"/>
            <w:tcBorders>
              <w:top w:val="single" w:color="000000" w:sz="4" w:space="0"/>
              <w:bottom w:val="single" w:color="000000" w:sz="4" w:space="0"/>
              <w:right w:val="single" w:color="000000" w:sz="4" w:space="0"/>
            </w:tcBorders>
            <w:vAlign w:val="center"/>
          </w:tcPr>
          <w:p w14:paraId="51C69D23">
            <w:pPr>
              <w:spacing w:line="360" w:lineRule="auto"/>
              <w:jc w:val="center"/>
              <w:rPr>
                <w:rFonts w:hint="eastAsia" w:ascii="宋体" w:hAnsi="宋体"/>
                <w:color w:val="auto"/>
                <w:szCs w:val="21"/>
                <w:highlight w:val="none"/>
              </w:rPr>
            </w:pPr>
            <w:r>
              <w:rPr>
                <w:rFonts w:hint="eastAsia" w:ascii="宋体" w:hAnsi="宋体"/>
                <w:color w:val="auto"/>
                <w:szCs w:val="21"/>
                <w:highlight w:val="none"/>
              </w:rPr>
              <w:t>3</w:t>
            </w:r>
          </w:p>
        </w:tc>
        <w:tc>
          <w:tcPr>
            <w:tcW w:w="8355" w:type="dxa"/>
            <w:tcBorders>
              <w:top w:val="single" w:color="000000" w:sz="4" w:space="0"/>
              <w:left w:val="single" w:color="000000" w:sz="4" w:space="0"/>
              <w:bottom w:val="single" w:color="000000" w:sz="4" w:space="0"/>
            </w:tcBorders>
            <w:vAlign w:val="center"/>
          </w:tcPr>
          <w:p w14:paraId="5E857801">
            <w:pPr>
              <w:spacing w:line="360" w:lineRule="auto"/>
              <w:jc w:val="left"/>
              <w:rPr>
                <w:rFonts w:hint="eastAsia" w:ascii="宋体" w:hAnsi="宋体"/>
                <w:color w:val="auto"/>
                <w:szCs w:val="21"/>
                <w:highlight w:val="none"/>
              </w:rPr>
            </w:pPr>
            <w:r>
              <w:rPr>
                <w:rFonts w:hint="eastAsia" w:ascii="宋体" w:hAnsi="宋体"/>
                <w:b/>
                <w:bCs/>
                <w:color w:val="auto"/>
                <w:szCs w:val="21"/>
                <w:highlight w:val="none"/>
              </w:rPr>
              <w:t>采购方式：</w:t>
            </w:r>
            <w:r>
              <w:rPr>
                <w:rFonts w:hint="eastAsia" w:ascii="宋体" w:hAnsi="宋体"/>
                <w:color w:val="auto"/>
                <w:szCs w:val="21"/>
                <w:highlight w:val="none"/>
              </w:rPr>
              <w:t>竞争性磋商（资格后审）</w:t>
            </w:r>
          </w:p>
        </w:tc>
      </w:tr>
      <w:tr w14:paraId="1D9F2F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45" w:type="dxa"/>
            <w:tcBorders>
              <w:top w:val="single" w:color="000000" w:sz="4" w:space="0"/>
              <w:bottom w:val="single" w:color="000000" w:sz="4" w:space="0"/>
              <w:right w:val="single" w:color="000000" w:sz="4" w:space="0"/>
            </w:tcBorders>
            <w:vAlign w:val="center"/>
          </w:tcPr>
          <w:p w14:paraId="00EC63C8">
            <w:pPr>
              <w:spacing w:line="360" w:lineRule="auto"/>
              <w:jc w:val="center"/>
              <w:rPr>
                <w:rFonts w:hint="eastAsia" w:ascii="宋体" w:hAnsi="宋体"/>
                <w:color w:val="auto"/>
                <w:szCs w:val="21"/>
                <w:highlight w:val="none"/>
              </w:rPr>
            </w:pPr>
            <w:r>
              <w:rPr>
                <w:rFonts w:hint="eastAsia" w:ascii="宋体" w:hAnsi="宋体"/>
                <w:color w:val="auto"/>
                <w:szCs w:val="21"/>
                <w:highlight w:val="none"/>
              </w:rPr>
              <w:t>4</w:t>
            </w:r>
          </w:p>
        </w:tc>
        <w:tc>
          <w:tcPr>
            <w:tcW w:w="8355" w:type="dxa"/>
            <w:tcBorders>
              <w:top w:val="single" w:color="000000" w:sz="4" w:space="0"/>
              <w:left w:val="single" w:color="000000" w:sz="4" w:space="0"/>
              <w:bottom w:val="single" w:color="000000" w:sz="4" w:space="0"/>
            </w:tcBorders>
            <w:vAlign w:val="center"/>
          </w:tcPr>
          <w:p w14:paraId="48949E73">
            <w:pPr>
              <w:spacing w:line="360" w:lineRule="auto"/>
              <w:jc w:val="left"/>
              <w:rPr>
                <w:rFonts w:hint="eastAsia" w:ascii="宋体" w:hAnsi="宋体"/>
                <w:color w:val="auto"/>
                <w:szCs w:val="21"/>
                <w:highlight w:val="none"/>
              </w:rPr>
            </w:pPr>
            <w:r>
              <w:rPr>
                <w:rFonts w:hint="eastAsia"/>
                <w:b/>
                <w:bCs/>
                <w:color w:val="auto"/>
                <w:highlight w:val="none"/>
              </w:rPr>
              <w:t>采购需求：</w:t>
            </w:r>
            <w:r>
              <w:rPr>
                <w:rFonts w:hint="eastAsia" w:ascii="宋体" w:hAnsi="宋体" w:cs="宋体"/>
                <w:color w:val="auto"/>
                <w:szCs w:val="21"/>
                <w:highlight w:val="none"/>
              </w:rPr>
              <w:t>溧水区人民医院因资金需求拟办理流动资金贷款</w:t>
            </w:r>
            <w:r>
              <w:rPr>
                <w:rFonts w:hint="eastAsia" w:ascii="宋体" w:hAnsi="宋体" w:cs="宋体"/>
                <w:color w:val="auto"/>
                <w:szCs w:val="21"/>
                <w:highlight w:val="none"/>
                <w:lang w:val="en-US" w:eastAsia="zh-CN"/>
              </w:rPr>
              <w:t>50</w:t>
            </w:r>
            <w:r>
              <w:rPr>
                <w:rFonts w:hint="eastAsia" w:ascii="宋体" w:hAnsi="宋体" w:cs="宋体"/>
                <w:color w:val="auto"/>
                <w:szCs w:val="21"/>
                <w:highlight w:val="none"/>
              </w:rPr>
              <w:t>00万元</w:t>
            </w:r>
          </w:p>
        </w:tc>
      </w:tr>
      <w:tr w14:paraId="62E0CA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2" w:hRule="atLeast"/>
        </w:trPr>
        <w:tc>
          <w:tcPr>
            <w:tcW w:w="945" w:type="dxa"/>
            <w:tcBorders>
              <w:top w:val="single" w:color="000000" w:sz="4" w:space="0"/>
              <w:bottom w:val="single" w:color="000000" w:sz="4" w:space="0"/>
              <w:right w:val="single" w:color="000000" w:sz="4" w:space="0"/>
            </w:tcBorders>
            <w:vAlign w:val="center"/>
          </w:tcPr>
          <w:p w14:paraId="6BDD62DF">
            <w:pPr>
              <w:spacing w:line="360" w:lineRule="auto"/>
              <w:jc w:val="center"/>
              <w:rPr>
                <w:rFonts w:hint="eastAsia" w:ascii="宋体" w:hAnsi="宋体"/>
                <w:color w:val="auto"/>
                <w:szCs w:val="21"/>
                <w:highlight w:val="none"/>
              </w:rPr>
            </w:pPr>
            <w:r>
              <w:rPr>
                <w:rFonts w:hint="eastAsia" w:ascii="宋体" w:hAnsi="宋体"/>
                <w:color w:val="auto"/>
                <w:szCs w:val="21"/>
                <w:highlight w:val="none"/>
              </w:rPr>
              <w:t>5</w:t>
            </w:r>
          </w:p>
        </w:tc>
        <w:tc>
          <w:tcPr>
            <w:tcW w:w="8355" w:type="dxa"/>
            <w:tcBorders>
              <w:top w:val="single" w:color="000000" w:sz="4" w:space="0"/>
              <w:left w:val="single" w:color="000000" w:sz="4" w:space="0"/>
              <w:bottom w:val="single" w:color="000000" w:sz="4" w:space="0"/>
            </w:tcBorders>
            <w:vAlign w:val="center"/>
          </w:tcPr>
          <w:p w14:paraId="2A0D3002">
            <w:pPr>
              <w:spacing w:line="360" w:lineRule="auto"/>
              <w:rPr>
                <w:rFonts w:hint="eastAsia" w:ascii="宋体" w:hAnsi="宋体"/>
                <w:color w:val="auto"/>
                <w:szCs w:val="21"/>
                <w:highlight w:val="none"/>
              </w:rPr>
            </w:pPr>
            <w:r>
              <w:rPr>
                <w:rFonts w:hint="eastAsia"/>
                <w:b/>
                <w:bCs/>
                <w:color w:val="auto"/>
                <w:highlight w:val="none"/>
              </w:rPr>
              <w:t>贷款期限：</w:t>
            </w:r>
            <w:r>
              <w:rPr>
                <w:rFonts w:hint="eastAsia" w:ascii="宋体" w:hAnsi="宋体" w:cs="宋体"/>
                <w:color w:val="auto"/>
                <w:szCs w:val="21"/>
                <w:highlight w:val="none"/>
              </w:rPr>
              <w:t>1年</w:t>
            </w:r>
          </w:p>
        </w:tc>
      </w:tr>
      <w:tr w14:paraId="026E64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45" w:type="dxa"/>
            <w:tcBorders>
              <w:top w:val="single" w:color="000000" w:sz="4" w:space="0"/>
              <w:bottom w:val="single" w:color="000000" w:sz="4" w:space="0"/>
              <w:right w:val="single" w:color="000000" w:sz="4" w:space="0"/>
            </w:tcBorders>
            <w:vAlign w:val="center"/>
          </w:tcPr>
          <w:p w14:paraId="7EC5762D">
            <w:pPr>
              <w:spacing w:line="360" w:lineRule="auto"/>
              <w:jc w:val="center"/>
              <w:rPr>
                <w:rFonts w:hint="eastAsia" w:ascii="宋体" w:hAnsi="宋体"/>
                <w:color w:val="auto"/>
                <w:szCs w:val="21"/>
                <w:highlight w:val="none"/>
              </w:rPr>
            </w:pPr>
            <w:r>
              <w:rPr>
                <w:rFonts w:hint="eastAsia" w:ascii="宋体" w:hAnsi="宋体"/>
                <w:color w:val="auto"/>
                <w:szCs w:val="21"/>
                <w:highlight w:val="none"/>
              </w:rPr>
              <w:t>6</w:t>
            </w:r>
          </w:p>
        </w:tc>
        <w:tc>
          <w:tcPr>
            <w:tcW w:w="8355" w:type="dxa"/>
            <w:tcBorders>
              <w:top w:val="single" w:color="000000" w:sz="4" w:space="0"/>
              <w:left w:val="single" w:color="000000" w:sz="4" w:space="0"/>
              <w:bottom w:val="single" w:color="000000" w:sz="4" w:space="0"/>
            </w:tcBorders>
            <w:vAlign w:val="center"/>
          </w:tcPr>
          <w:p w14:paraId="76465610">
            <w:pPr>
              <w:spacing w:line="360" w:lineRule="auto"/>
              <w:jc w:val="left"/>
              <w:rPr>
                <w:color w:val="auto"/>
                <w:highlight w:val="none"/>
              </w:rPr>
            </w:pPr>
            <w:r>
              <w:rPr>
                <w:rFonts w:hint="eastAsia"/>
                <w:b/>
                <w:bCs/>
                <w:color w:val="auto"/>
                <w:highlight w:val="none"/>
              </w:rPr>
              <w:t>响应有效期：</w:t>
            </w:r>
            <w:bookmarkStart w:id="32" w:name="_Toc199400387"/>
            <w:bookmarkStart w:id="33" w:name="_Toc161049885"/>
            <w:bookmarkStart w:id="34" w:name="_Toc161049752"/>
            <w:r>
              <w:rPr>
                <w:rFonts w:hint="eastAsia"/>
                <w:color w:val="auto"/>
                <w:highlight w:val="none"/>
              </w:rPr>
              <w:t>90天（日历天）</w:t>
            </w:r>
            <w:bookmarkEnd w:id="32"/>
            <w:bookmarkEnd w:id="33"/>
            <w:bookmarkEnd w:id="34"/>
          </w:p>
        </w:tc>
      </w:tr>
      <w:tr w14:paraId="712D48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45" w:type="dxa"/>
            <w:tcBorders>
              <w:top w:val="single" w:color="auto" w:sz="4" w:space="0"/>
              <w:bottom w:val="single" w:color="auto" w:sz="4" w:space="0"/>
              <w:right w:val="single" w:color="000000" w:sz="4" w:space="0"/>
            </w:tcBorders>
            <w:vAlign w:val="center"/>
          </w:tcPr>
          <w:p w14:paraId="4E2CC77A">
            <w:pPr>
              <w:spacing w:line="360" w:lineRule="auto"/>
              <w:jc w:val="center"/>
              <w:rPr>
                <w:rFonts w:hint="eastAsia" w:ascii="宋体" w:hAnsi="宋体"/>
                <w:color w:val="auto"/>
                <w:szCs w:val="21"/>
                <w:highlight w:val="none"/>
              </w:rPr>
            </w:pPr>
            <w:r>
              <w:rPr>
                <w:rFonts w:hint="eastAsia" w:ascii="宋体" w:hAnsi="宋体"/>
                <w:color w:val="auto"/>
                <w:szCs w:val="21"/>
                <w:highlight w:val="none"/>
              </w:rPr>
              <w:t>7</w:t>
            </w:r>
          </w:p>
        </w:tc>
        <w:tc>
          <w:tcPr>
            <w:tcW w:w="8355" w:type="dxa"/>
            <w:tcBorders>
              <w:top w:val="single" w:color="auto" w:sz="4" w:space="0"/>
              <w:left w:val="single" w:color="000000" w:sz="4" w:space="0"/>
              <w:bottom w:val="single" w:color="auto" w:sz="4" w:space="0"/>
            </w:tcBorders>
            <w:vAlign w:val="center"/>
          </w:tcPr>
          <w:p w14:paraId="0E299D82">
            <w:pPr>
              <w:spacing w:line="360" w:lineRule="auto"/>
              <w:jc w:val="left"/>
              <w:rPr>
                <w:rFonts w:hint="eastAsia" w:ascii="宋体" w:hAnsi="宋体"/>
                <w:b/>
                <w:color w:val="auto"/>
                <w:szCs w:val="21"/>
                <w:highlight w:val="none"/>
              </w:rPr>
            </w:pPr>
            <w:r>
              <w:rPr>
                <w:rFonts w:hint="eastAsia" w:ascii="宋体" w:hAnsi="宋体"/>
                <w:b/>
                <w:bCs/>
                <w:color w:val="auto"/>
                <w:szCs w:val="21"/>
                <w:highlight w:val="none"/>
              </w:rPr>
              <w:t>履约保证金：</w:t>
            </w:r>
            <w:r>
              <w:rPr>
                <w:rFonts w:hint="eastAsia" w:ascii="宋体" w:hAnsi="宋体"/>
                <w:color w:val="auto"/>
                <w:szCs w:val="21"/>
                <w:highlight w:val="none"/>
              </w:rPr>
              <w:t>无</w:t>
            </w:r>
          </w:p>
        </w:tc>
      </w:tr>
      <w:tr w14:paraId="3AFE17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45" w:type="dxa"/>
            <w:tcBorders>
              <w:top w:val="single" w:color="auto" w:sz="4" w:space="0"/>
              <w:bottom w:val="single" w:color="auto" w:sz="4" w:space="0"/>
              <w:right w:val="single" w:color="000000" w:sz="4" w:space="0"/>
            </w:tcBorders>
            <w:vAlign w:val="center"/>
          </w:tcPr>
          <w:p w14:paraId="0328CF78">
            <w:pPr>
              <w:spacing w:line="360" w:lineRule="auto"/>
              <w:jc w:val="center"/>
              <w:rPr>
                <w:rFonts w:hint="eastAsia" w:ascii="宋体" w:hAnsi="宋体"/>
                <w:color w:val="auto"/>
                <w:szCs w:val="21"/>
                <w:highlight w:val="none"/>
              </w:rPr>
            </w:pPr>
            <w:r>
              <w:rPr>
                <w:rFonts w:hint="eastAsia" w:ascii="宋体" w:hAnsi="宋体"/>
                <w:color w:val="auto"/>
                <w:szCs w:val="21"/>
                <w:highlight w:val="none"/>
              </w:rPr>
              <w:t>8</w:t>
            </w:r>
          </w:p>
        </w:tc>
        <w:tc>
          <w:tcPr>
            <w:tcW w:w="8355" w:type="dxa"/>
            <w:tcBorders>
              <w:top w:val="single" w:color="auto" w:sz="4" w:space="0"/>
              <w:left w:val="single" w:color="000000" w:sz="4" w:space="0"/>
              <w:bottom w:val="single" w:color="auto" w:sz="4" w:space="0"/>
            </w:tcBorders>
            <w:vAlign w:val="center"/>
          </w:tcPr>
          <w:p w14:paraId="5CEA8A89">
            <w:pPr>
              <w:spacing w:line="360" w:lineRule="auto"/>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
                <w:bCs/>
                <w:color w:val="auto"/>
                <w:szCs w:val="21"/>
                <w:highlight w:val="none"/>
              </w:rPr>
              <w:t>响应文件份数：</w:t>
            </w:r>
            <w:r>
              <w:rPr>
                <w:rFonts w:hint="eastAsia" w:ascii="宋体" w:hAnsi="宋体" w:cs="宋体"/>
                <w:color w:val="auto"/>
                <w:szCs w:val="21"/>
                <w:highlight w:val="none"/>
              </w:rPr>
              <w:t>纸质版响应文件一式肆份（壹份正本、叁份副本）并胶装，电子版响应文件壹份（一般应为加盖公章PDF格式，U盘形式）。当纸质正本文件和电子版文件不一致时，以纸质正本文件为准。电子版文件用于存档，银行需承担前述不一致造成的不利后果。每份纸质文件须清楚标明“正本”或“副本”字样。一旦正本和副本不符，以正本为准。</w:t>
            </w:r>
          </w:p>
        </w:tc>
      </w:tr>
      <w:tr w14:paraId="324B2F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45" w:type="dxa"/>
            <w:tcBorders>
              <w:top w:val="single" w:color="auto" w:sz="4" w:space="0"/>
              <w:bottom w:val="single" w:color="000000" w:sz="4" w:space="0"/>
              <w:right w:val="single" w:color="000000" w:sz="4" w:space="0"/>
            </w:tcBorders>
            <w:vAlign w:val="center"/>
          </w:tcPr>
          <w:p w14:paraId="74E34109">
            <w:pPr>
              <w:spacing w:line="360" w:lineRule="auto"/>
              <w:jc w:val="center"/>
              <w:rPr>
                <w:rFonts w:hint="eastAsia" w:ascii="宋体" w:hAnsi="宋体"/>
                <w:color w:val="auto"/>
                <w:szCs w:val="21"/>
                <w:highlight w:val="none"/>
              </w:rPr>
            </w:pPr>
            <w:r>
              <w:rPr>
                <w:rFonts w:hint="eastAsia" w:ascii="宋体" w:hAnsi="宋体"/>
                <w:color w:val="auto"/>
                <w:szCs w:val="21"/>
                <w:highlight w:val="none"/>
              </w:rPr>
              <w:t>9</w:t>
            </w:r>
          </w:p>
        </w:tc>
        <w:tc>
          <w:tcPr>
            <w:tcW w:w="8355" w:type="dxa"/>
            <w:tcBorders>
              <w:top w:val="single" w:color="auto" w:sz="4" w:space="0"/>
              <w:left w:val="single" w:color="000000" w:sz="4" w:space="0"/>
              <w:bottom w:val="single" w:color="000000" w:sz="4" w:space="0"/>
            </w:tcBorders>
            <w:vAlign w:val="center"/>
          </w:tcPr>
          <w:p w14:paraId="28495E75">
            <w:pPr>
              <w:spacing w:line="360" w:lineRule="auto"/>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
                <w:bCs/>
                <w:color w:val="auto"/>
                <w:szCs w:val="21"/>
                <w:highlight w:val="none"/>
              </w:rPr>
              <w:t>响应文件投标截止时间：</w:t>
            </w:r>
            <w:r>
              <w:rPr>
                <w:rFonts w:hint="eastAsia" w:ascii="宋体" w:hAnsi="宋体" w:cs="宋体"/>
                <w:color w:val="auto"/>
                <w:szCs w:val="21"/>
                <w:highlight w:val="none"/>
              </w:rPr>
              <w:t>2026年</w:t>
            </w:r>
            <w:r>
              <w:rPr>
                <w:rFonts w:hint="eastAsia" w:ascii="宋体" w:hAnsi="宋体" w:cs="宋体"/>
                <w:color w:val="auto"/>
                <w:szCs w:val="21"/>
                <w:highlight w:val="none"/>
                <w:lang w:val="en-US" w:eastAsia="zh-CN"/>
              </w:rPr>
              <w:t>09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24</w:t>
            </w:r>
            <w:r>
              <w:rPr>
                <w:rFonts w:hint="eastAsia" w:ascii="宋体" w:hAnsi="宋体" w:cs="宋体"/>
                <w:color w:val="auto"/>
                <w:szCs w:val="21"/>
                <w:highlight w:val="none"/>
              </w:rPr>
              <w:t>日</w:t>
            </w:r>
            <w:r>
              <w:rPr>
                <w:rFonts w:hint="eastAsia" w:ascii="宋体" w:hAnsi="宋体" w:cs="宋体"/>
                <w:color w:val="auto"/>
                <w:szCs w:val="21"/>
                <w:highlight w:val="none"/>
                <w:lang w:val="en-US" w:eastAsia="zh-CN"/>
              </w:rPr>
              <w:t>09</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0</w:t>
            </w:r>
          </w:p>
          <w:p w14:paraId="10BEB8F2">
            <w:pPr>
              <w:spacing w:line="360" w:lineRule="auto"/>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
                <w:bCs/>
                <w:color w:val="auto"/>
                <w:szCs w:val="21"/>
                <w:highlight w:val="none"/>
              </w:rPr>
              <w:t>响应文件递交地点：</w:t>
            </w:r>
            <w:r>
              <w:rPr>
                <w:rFonts w:hint="eastAsia" w:ascii="宋体" w:hAnsi="宋体" w:eastAsiaTheme="minorEastAsia"/>
                <w:color w:val="auto"/>
                <w:szCs w:val="21"/>
                <w:highlight w:val="none"/>
              </w:rPr>
              <w:t>南京市溧水区永阳街道温州商贸文化广场停车场内三楼</w:t>
            </w:r>
            <w:r>
              <w:rPr>
                <w:rFonts w:hint="eastAsia" w:ascii="宋体" w:hAnsi="宋体" w:eastAsiaTheme="minorEastAsia"/>
                <w:color w:val="auto"/>
                <w:szCs w:val="21"/>
                <w:highlight w:val="none"/>
                <w:lang w:eastAsia="zh-CN"/>
              </w:rPr>
              <w:t>钟信工程项目管理咨询（南京）有限公司</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原：</w:t>
            </w:r>
            <w:r>
              <w:rPr>
                <w:rFonts w:hint="eastAsia" w:ascii="宋体" w:hAnsi="宋体" w:cs="宋体"/>
                <w:color w:val="auto"/>
                <w:szCs w:val="21"/>
                <w:highlight w:val="none"/>
                <w:lang w:val="zh-CN"/>
              </w:rPr>
              <w:t>南京中信工程造价有限公司</w:t>
            </w:r>
            <w:r>
              <w:rPr>
                <w:rFonts w:hint="eastAsia" w:ascii="宋体" w:hAnsi="宋体" w:cs="宋体"/>
                <w:color w:val="auto"/>
                <w:szCs w:val="21"/>
                <w:highlight w:val="none"/>
                <w:lang w:eastAsia="zh-CN"/>
              </w:rPr>
              <w:t>）</w:t>
            </w:r>
            <w:r>
              <w:rPr>
                <w:rFonts w:hint="eastAsia" w:ascii="宋体" w:hAnsi="宋体" w:eastAsiaTheme="minorEastAsia"/>
                <w:color w:val="auto"/>
                <w:szCs w:val="21"/>
                <w:highlight w:val="none"/>
              </w:rPr>
              <w:t>303会议室。</w:t>
            </w:r>
          </w:p>
        </w:tc>
      </w:tr>
      <w:tr w14:paraId="3FE1CC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45" w:type="dxa"/>
            <w:tcBorders>
              <w:top w:val="single" w:color="auto" w:sz="4" w:space="0"/>
              <w:bottom w:val="single" w:color="000000" w:sz="4" w:space="0"/>
              <w:right w:val="single" w:color="000000" w:sz="4" w:space="0"/>
            </w:tcBorders>
            <w:vAlign w:val="center"/>
          </w:tcPr>
          <w:p w14:paraId="1B0F49E7">
            <w:pPr>
              <w:spacing w:line="360" w:lineRule="auto"/>
              <w:jc w:val="center"/>
              <w:rPr>
                <w:rFonts w:hint="eastAsia" w:ascii="宋体" w:hAnsi="宋体"/>
                <w:color w:val="auto"/>
                <w:szCs w:val="21"/>
                <w:highlight w:val="none"/>
              </w:rPr>
            </w:pPr>
            <w:r>
              <w:rPr>
                <w:rFonts w:hint="eastAsia" w:ascii="宋体" w:hAnsi="宋体"/>
                <w:color w:val="auto"/>
                <w:szCs w:val="21"/>
                <w:highlight w:val="none"/>
              </w:rPr>
              <w:t>10</w:t>
            </w:r>
          </w:p>
        </w:tc>
        <w:tc>
          <w:tcPr>
            <w:tcW w:w="8355" w:type="dxa"/>
            <w:tcBorders>
              <w:top w:val="single" w:color="auto" w:sz="4" w:space="0"/>
              <w:left w:val="single" w:color="000000" w:sz="4" w:space="0"/>
              <w:bottom w:val="single" w:color="000000" w:sz="4" w:space="0"/>
            </w:tcBorders>
            <w:vAlign w:val="center"/>
          </w:tcPr>
          <w:p w14:paraId="7B00A154">
            <w:pPr>
              <w:spacing w:line="360" w:lineRule="auto"/>
              <w:jc w:val="left"/>
              <w:rPr>
                <w:rFonts w:hint="eastAsia" w:ascii="宋体" w:hAnsi="宋体"/>
                <w:color w:val="auto"/>
                <w:szCs w:val="21"/>
                <w:highlight w:val="none"/>
              </w:rPr>
            </w:pPr>
            <w:r>
              <w:rPr>
                <w:rFonts w:hint="eastAsia" w:ascii="宋体" w:hAnsi="宋体"/>
                <w:b/>
                <w:bCs/>
                <w:snapToGrid w:val="0"/>
                <w:color w:val="auto"/>
                <w:kern w:val="0"/>
                <w:szCs w:val="21"/>
                <w:highlight w:val="none"/>
              </w:rPr>
              <w:t>集中考察或答疑：</w:t>
            </w:r>
            <w:r>
              <w:rPr>
                <w:rFonts w:hint="eastAsia" w:ascii="宋体" w:hAnsi="宋体"/>
                <w:snapToGrid w:val="0"/>
                <w:color w:val="auto"/>
                <w:kern w:val="0"/>
                <w:szCs w:val="21"/>
                <w:highlight w:val="none"/>
              </w:rPr>
              <w:t>院方不组织。各银行自行踏勘并熟悉项目基本情况以及院方的磋商要求，了解一切可能影响响应的因素，且各银行应对自行获得的资料、信息的正确性负全部责任，自行承担因此所需的费用。一旦中标，中标银行不得以不完全了解项目需求为由，而提出额外的赔偿、补偿等要求，对此院方将不予采纳。</w:t>
            </w:r>
          </w:p>
        </w:tc>
      </w:tr>
      <w:tr w14:paraId="0E0CEE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45" w:type="dxa"/>
            <w:tcBorders>
              <w:top w:val="single" w:color="auto" w:sz="4" w:space="0"/>
              <w:bottom w:val="single" w:color="000000" w:sz="4" w:space="0"/>
              <w:right w:val="single" w:color="000000" w:sz="4" w:space="0"/>
            </w:tcBorders>
            <w:vAlign w:val="center"/>
          </w:tcPr>
          <w:p w14:paraId="26556317">
            <w:pPr>
              <w:spacing w:line="360" w:lineRule="auto"/>
              <w:jc w:val="center"/>
              <w:rPr>
                <w:rFonts w:hint="eastAsia" w:ascii="宋体" w:hAnsi="宋体"/>
                <w:color w:val="auto"/>
                <w:szCs w:val="21"/>
                <w:highlight w:val="none"/>
              </w:rPr>
            </w:pPr>
            <w:r>
              <w:rPr>
                <w:rFonts w:hint="eastAsia" w:ascii="宋体" w:hAnsi="宋体"/>
                <w:color w:val="auto"/>
                <w:szCs w:val="21"/>
                <w:highlight w:val="none"/>
              </w:rPr>
              <w:t>11</w:t>
            </w:r>
          </w:p>
        </w:tc>
        <w:tc>
          <w:tcPr>
            <w:tcW w:w="8355" w:type="dxa"/>
            <w:tcBorders>
              <w:top w:val="single" w:color="auto" w:sz="4" w:space="0"/>
              <w:left w:val="single" w:color="000000" w:sz="4" w:space="0"/>
              <w:bottom w:val="single" w:color="000000" w:sz="4" w:space="0"/>
            </w:tcBorders>
            <w:vAlign w:val="center"/>
          </w:tcPr>
          <w:p w14:paraId="6828843E">
            <w:pPr>
              <w:spacing w:line="360" w:lineRule="auto"/>
              <w:jc w:val="left"/>
              <w:rPr>
                <w:rFonts w:hint="eastAsia" w:ascii="宋体" w:hAnsi="宋体"/>
                <w:snapToGrid w:val="0"/>
                <w:color w:val="auto"/>
                <w:kern w:val="0"/>
                <w:szCs w:val="21"/>
                <w:highlight w:val="none"/>
              </w:rPr>
            </w:pPr>
            <w:r>
              <w:rPr>
                <w:rFonts w:hint="eastAsia" w:ascii="宋体" w:hAnsi="宋体"/>
                <w:b/>
                <w:bCs/>
                <w:snapToGrid w:val="0"/>
                <w:color w:val="auto"/>
                <w:kern w:val="0"/>
                <w:szCs w:val="21"/>
                <w:highlight w:val="none"/>
              </w:rPr>
              <w:t>澄清问题提出：</w:t>
            </w:r>
            <w:r>
              <w:rPr>
                <w:rFonts w:hint="eastAsia" w:ascii="宋体" w:hAnsi="宋体"/>
                <w:snapToGrid w:val="0"/>
                <w:color w:val="auto"/>
                <w:kern w:val="0"/>
                <w:szCs w:val="21"/>
                <w:highlight w:val="none"/>
              </w:rPr>
              <w:t>潜在银行在获取磋商文件后，如对磋商文件内容存在疑问，需要院方及代理机构进行澄清，应在2026年0</w:t>
            </w:r>
            <w:r>
              <w:rPr>
                <w:rFonts w:hint="eastAsia" w:ascii="宋体" w:hAnsi="宋体"/>
                <w:snapToGrid w:val="0"/>
                <w:color w:val="auto"/>
                <w:kern w:val="0"/>
                <w:szCs w:val="21"/>
                <w:highlight w:val="none"/>
                <w:lang w:val="en-US" w:eastAsia="zh-CN"/>
              </w:rPr>
              <w:t>9</w:t>
            </w:r>
            <w:r>
              <w:rPr>
                <w:rFonts w:hint="eastAsia" w:ascii="宋体" w:hAnsi="宋体"/>
                <w:snapToGrid w:val="0"/>
                <w:color w:val="auto"/>
                <w:kern w:val="0"/>
                <w:szCs w:val="21"/>
                <w:highlight w:val="none"/>
              </w:rPr>
              <w:t>月</w:t>
            </w:r>
            <w:r>
              <w:rPr>
                <w:rFonts w:hint="eastAsia" w:ascii="宋体" w:hAnsi="宋体"/>
                <w:snapToGrid w:val="0"/>
                <w:color w:val="auto"/>
                <w:kern w:val="0"/>
                <w:szCs w:val="21"/>
                <w:highlight w:val="none"/>
                <w:lang w:val="en-US" w:eastAsia="zh-CN"/>
              </w:rPr>
              <w:t>21</w:t>
            </w:r>
            <w:r>
              <w:rPr>
                <w:rFonts w:hint="eastAsia" w:ascii="宋体" w:hAnsi="宋体"/>
                <w:snapToGrid w:val="0"/>
                <w:color w:val="auto"/>
                <w:kern w:val="0"/>
                <w:szCs w:val="21"/>
                <w:highlight w:val="none"/>
              </w:rPr>
              <w:t>日17：00点前以书面形式（需加盖银行公章，并将答疑问题扫描件和文字内容的WORD版发送至282443784@qq.com邮箱）向代理机构一次性提出，逾期不再受理。邮件主题为：单位名称+项目名称，答疑问题相关资料发送成功后，</w:t>
            </w:r>
            <w:r>
              <w:rPr>
                <w:rFonts w:hint="eastAsia" w:ascii="宋体" w:hAnsi="宋体"/>
                <w:b/>
                <w:bCs/>
                <w:snapToGrid w:val="0"/>
                <w:color w:val="auto"/>
                <w:kern w:val="0"/>
                <w:szCs w:val="21"/>
                <w:highlight w:val="none"/>
              </w:rPr>
              <w:t>请及时电话与代理联系予以确认！</w:t>
            </w:r>
          </w:p>
        </w:tc>
      </w:tr>
      <w:tr w14:paraId="3310E4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45" w:type="dxa"/>
            <w:tcBorders>
              <w:top w:val="single" w:color="auto" w:sz="4" w:space="0"/>
              <w:bottom w:val="single" w:color="000000" w:sz="4" w:space="0"/>
              <w:right w:val="single" w:color="000000" w:sz="4" w:space="0"/>
            </w:tcBorders>
            <w:vAlign w:val="center"/>
          </w:tcPr>
          <w:p w14:paraId="72F40C09">
            <w:pPr>
              <w:spacing w:line="360" w:lineRule="auto"/>
              <w:jc w:val="center"/>
              <w:rPr>
                <w:rFonts w:hint="eastAsia" w:ascii="宋体" w:hAnsi="宋体"/>
                <w:color w:val="auto"/>
                <w:szCs w:val="21"/>
                <w:highlight w:val="none"/>
              </w:rPr>
            </w:pPr>
            <w:r>
              <w:rPr>
                <w:rFonts w:hint="eastAsia" w:ascii="宋体" w:hAnsi="宋体"/>
                <w:color w:val="auto"/>
                <w:szCs w:val="21"/>
                <w:highlight w:val="none"/>
              </w:rPr>
              <w:t>12</w:t>
            </w:r>
          </w:p>
        </w:tc>
        <w:tc>
          <w:tcPr>
            <w:tcW w:w="8355" w:type="dxa"/>
            <w:tcBorders>
              <w:top w:val="single" w:color="auto" w:sz="4" w:space="0"/>
              <w:left w:val="single" w:color="000000" w:sz="4" w:space="0"/>
              <w:bottom w:val="single" w:color="000000" w:sz="4" w:space="0"/>
            </w:tcBorders>
            <w:vAlign w:val="center"/>
          </w:tcPr>
          <w:p w14:paraId="2CE14300">
            <w:pPr>
              <w:spacing w:line="360" w:lineRule="auto"/>
              <w:jc w:val="left"/>
              <w:rPr>
                <w:b/>
                <w:bCs/>
                <w:color w:val="auto"/>
                <w:sz w:val="24"/>
                <w:highlight w:val="none"/>
              </w:rPr>
            </w:pPr>
            <w:r>
              <w:rPr>
                <w:rFonts w:hint="eastAsia" w:ascii="宋体" w:hAnsi="宋体"/>
                <w:b/>
                <w:bCs/>
                <w:snapToGrid w:val="0"/>
                <w:color w:val="auto"/>
                <w:kern w:val="0"/>
                <w:szCs w:val="21"/>
                <w:highlight w:val="none"/>
              </w:rPr>
              <w:t>澄清答疑：</w:t>
            </w:r>
            <w:r>
              <w:rPr>
                <w:rFonts w:hint="eastAsia" w:ascii="宋体" w:hAnsi="宋体"/>
                <w:snapToGrid w:val="0"/>
                <w:color w:val="auto"/>
                <w:kern w:val="0"/>
                <w:szCs w:val="21"/>
                <w:highlight w:val="none"/>
              </w:rPr>
              <w:t>院方及代理机构将形成书面澄清答疑文件，通过邮箱方式转发所有潜在银行方，且无需说明问题的来源。书面澄清答疑文件发布后，不再接受潜在银行方的任何澄清和答疑请求。该澄清答疑文件将作为磋商文件的一部分，与磋商文件具备同等效力。</w:t>
            </w:r>
          </w:p>
        </w:tc>
      </w:tr>
      <w:tr w14:paraId="220013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45" w:type="dxa"/>
            <w:tcBorders>
              <w:top w:val="single" w:color="auto" w:sz="4" w:space="0"/>
              <w:bottom w:val="single" w:color="auto" w:sz="4" w:space="0"/>
              <w:right w:val="single" w:color="000000" w:sz="4" w:space="0"/>
            </w:tcBorders>
            <w:vAlign w:val="center"/>
          </w:tcPr>
          <w:p w14:paraId="0F0DC5D2">
            <w:pPr>
              <w:spacing w:line="360" w:lineRule="auto"/>
              <w:jc w:val="center"/>
              <w:rPr>
                <w:rFonts w:hint="eastAsia" w:ascii="宋体" w:hAnsi="宋体"/>
                <w:color w:val="auto"/>
                <w:szCs w:val="21"/>
                <w:highlight w:val="none"/>
              </w:rPr>
            </w:pPr>
            <w:r>
              <w:rPr>
                <w:rFonts w:hint="eastAsia" w:ascii="宋体" w:hAnsi="宋体"/>
                <w:color w:val="auto"/>
                <w:szCs w:val="21"/>
                <w:highlight w:val="none"/>
              </w:rPr>
              <w:t>13</w:t>
            </w:r>
          </w:p>
        </w:tc>
        <w:tc>
          <w:tcPr>
            <w:tcW w:w="8355" w:type="dxa"/>
            <w:tcBorders>
              <w:top w:val="single" w:color="auto" w:sz="4" w:space="0"/>
              <w:left w:val="single" w:color="000000" w:sz="4" w:space="0"/>
              <w:bottom w:val="single" w:color="auto" w:sz="4" w:space="0"/>
            </w:tcBorders>
            <w:vAlign w:val="center"/>
          </w:tcPr>
          <w:p w14:paraId="76FC8B22">
            <w:pPr>
              <w:spacing w:line="360" w:lineRule="auto"/>
              <w:jc w:val="left"/>
              <w:rPr>
                <w:rFonts w:hint="eastAsia" w:ascii="宋体" w:hAnsi="宋体"/>
                <w:color w:val="auto"/>
                <w:szCs w:val="21"/>
                <w:highlight w:val="none"/>
              </w:rPr>
            </w:pPr>
            <w:r>
              <w:rPr>
                <w:rFonts w:hint="eastAsia" w:ascii="宋体" w:hAnsi="宋体"/>
                <w:b/>
                <w:bCs/>
                <w:snapToGrid w:val="0"/>
                <w:color w:val="auto"/>
                <w:kern w:val="0"/>
                <w:szCs w:val="21"/>
                <w:highlight w:val="none"/>
              </w:rPr>
              <w:t>是否授权磋商小组确定成交银行：</w:t>
            </w:r>
            <w:r>
              <w:rPr>
                <w:rFonts w:hint="eastAsia" w:ascii="宋体" w:hAnsi="宋体" w:cs="宋体"/>
                <w:color w:val="auto"/>
                <w:szCs w:val="21"/>
                <w:highlight w:val="none"/>
              </w:rPr>
              <w:t>是，磋商小组直接确定排名第一的成交候选人为成交银行。</w:t>
            </w:r>
          </w:p>
        </w:tc>
      </w:tr>
      <w:tr w14:paraId="41D56B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45" w:type="dxa"/>
            <w:tcBorders>
              <w:top w:val="single" w:color="auto" w:sz="4" w:space="0"/>
              <w:bottom w:val="single" w:color="auto" w:sz="4" w:space="0"/>
              <w:right w:val="single" w:color="000000" w:sz="4" w:space="0"/>
            </w:tcBorders>
            <w:vAlign w:val="center"/>
          </w:tcPr>
          <w:p w14:paraId="04275951">
            <w:pPr>
              <w:spacing w:line="360" w:lineRule="auto"/>
              <w:jc w:val="center"/>
              <w:rPr>
                <w:rFonts w:hint="eastAsia" w:ascii="宋体" w:hAnsi="宋体"/>
                <w:color w:val="auto"/>
                <w:szCs w:val="21"/>
                <w:highlight w:val="none"/>
              </w:rPr>
            </w:pPr>
            <w:r>
              <w:rPr>
                <w:rFonts w:hint="eastAsia" w:ascii="宋体" w:hAnsi="宋体"/>
                <w:color w:val="auto"/>
                <w:szCs w:val="21"/>
                <w:highlight w:val="none"/>
              </w:rPr>
              <w:t>14</w:t>
            </w:r>
          </w:p>
        </w:tc>
        <w:tc>
          <w:tcPr>
            <w:tcW w:w="8355" w:type="dxa"/>
            <w:tcBorders>
              <w:top w:val="single" w:color="auto" w:sz="4" w:space="0"/>
              <w:left w:val="single" w:color="000000" w:sz="4" w:space="0"/>
              <w:bottom w:val="single" w:color="auto" w:sz="4" w:space="0"/>
            </w:tcBorders>
            <w:vAlign w:val="center"/>
          </w:tcPr>
          <w:p w14:paraId="01B03AC8">
            <w:pPr>
              <w:spacing w:line="360" w:lineRule="auto"/>
              <w:jc w:val="left"/>
              <w:rPr>
                <w:color w:val="auto"/>
                <w:highlight w:val="none"/>
              </w:rPr>
            </w:pPr>
            <w:r>
              <w:rPr>
                <w:color w:val="auto"/>
                <w:highlight w:val="none"/>
              </w:rPr>
              <w:t>1、</w:t>
            </w:r>
            <w:r>
              <w:rPr>
                <w:rFonts w:hint="eastAsia"/>
                <w:color w:val="auto"/>
                <w:highlight w:val="none"/>
              </w:rPr>
              <w:t>成交服务费：本项目代理费按</w:t>
            </w:r>
            <w:r>
              <w:rPr>
                <w:rFonts w:hint="eastAsia"/>
                <w:color w:val="auto"/>
                <w:highlight w:val="none"/>
                <w:lang w:val="en-US" w:eastAsia="zh-CN"/>
              </w:rPr>
              <w:t>3</w:t>
            </w:r>
            <w:r>
              <w:rPr>
                <w:rFonts w:hint="eastAsia"/>
                <w:color w:val="auto"/>
                <w:highlight w:val="none"/>
              </w:rPr>
              <w:t>000元收取，由成交银行支付。</w:t>
            </w:r>
          </w:p>
          <w:p w14:paraId="427D7E64">
            <w:pPr>
              <w:spacing w:line="360" w:lineRule="auto"/>
              <w:jc w:val="left"/>
              <w:rPr>
                <w:b/>
                <w:bCs/>
                <w:color w:val="auto"/>
                <w:highlight w:val="none"/>
                <w:lang w:val="zh-CN"/>
              </w:rPr>
            </w:pPr>
            <w:r>
              <w:rPr>
                <w:rFonts w:hint="eastAsia"/>
                <w:b/>
                <w:bCs/>
                <w:color w:val="auto"/>
                <w:highlight w:val="none"/>
                <w:lang w:val="zh-CN"/>
              </w:rPr>
              <w:t>纳税人识别号：91320117780679746Y</w:t>
            </w:r>
          </w:p>
          <w:p w14:paraId="49406B19">
            <w:pPr>
              <w:spacing w:line="360" w:lineRule="auto"/>
              <w:jc w:val="left"/>
              <w:rPr>
                <w:b/>
                <w:bCs/>
                <w:color w:val="auto"/>
                <w:highlight w:val="none"/>
                <w:lang w:val="zh-CN"/>
              </w:rPr>
            </w:pPr>
            <w:r>
              <w:rPr>
                <w:rFonts w:hint="eastAsia"/>
                <w:b/>
                <w:bCs/>
                <w:color w:val="auto"/>
                <w:highlight w:val="none"/>
                <w:lang w:val="zh-CN"/>
              </w:rPr>
              <w:t>地址、电话：南京市鼓楼区燕江路201号D座20层 025-86289667</w:t>
            </w:r>
          </w:p>
          <w:p w14:paraId="7BE50036">
            <w:pPr>
              <w:spacing w:line="360" w:lineRule="auto"/>
              <w:jc w:val="left"/>
              <w:rPr>
                <w:b/>
                <w:bCs/>
                <w:color w:val="auto"/>
                <w:highlight w:val="none"/>
                <w:lang w:val="zh-CN"/>
              </w:rPr>
            </w:pPr>
            <w:r>
              <w:rPr>
                <w:rFonts w:hint="eastAsia"/>
                <w:b/>
                <w:bCs/>
                <w:color w:val="auto"/>
                <w:highlight w:val="none"/>
                <w:lang w:val="zh-CN"/>
              </w:rPr>
              <w:t>开户行及账号：建设银行</w:t>
            </w:r>
            <w:r>
              <w:rPr>
                <w:rFonts w:hint="eastAsia"/>
                <w:b/>
                <w:bCs/>
                <w:color w:val="auto"/>
                <w:highlight w:val="none"/>
              </w:rPr>
              <w:t>南京大东门支行</w:t>
            </w:r>
            <w:r>
              <w:rPr>
                <w:rFonts w:hint="eastAsia"/>
                <w:b/>
                <w:bCs/>
                <w:color w:val="auto"/>
                <w:highlight w:val="none"/>
                <w:lang w:val="zh-CN"/>
              </w:rPr>
              <w:t>32001596340052500905</w:t>
            </w:r>
          </w:p>
          <w:p w14:paraId="5B2B3447">
            <w:pPr>
              <w:spacing w:line="360" w:lineRule="auto"/>
              <w:jc w:val="left"/>
              <w:rPr>
                <w:b/>
                <w:bCs/>
                <w:color w:val="auto"/>
                <w:highlight w:val="none"/>
              </w:rPr>
            </w:pPr>
            <w:r>
              <w:rPr>
                <w:rFonts w:hint="eastAsia"/>
                <w:b/>
                <w:bCs/>
                <w:color w:val="auto"/>
                <w:highlight w:val="none"/>
                <w:lang w:val="zh-CN"/>
              </w:rPr>
              <w:t>备注：汇款时请注明“采购项目名称”（</w:t>
            </w:r>
            <w:r>
              <w:rPr>
                <w:rFonts w:hint="eastAsia"/>
                <w:b/>
                <w:bCs/>
                <w:color w:val="auto"/>
                <w:highlight w:val="none"/>
              </w:rPr>
              <w:t>可简写</w:t>
            </w:r>
            <w:r>
              <w:rPr>
                <w:rFonts w:hint="eastAsia"/>
                <w:b/>
                <w:bCs/>
                <w:color w:val="auto"/>
                <w:highlight w:val="none"/>
                <w:lang w:val="zh-CN"/>
              </w:rPr>
              <w:t>）等相关内容</w:t>
            </w:r>
          </w:p>
          <w:p w14:paraId="5F7E6D25">
            <w:pPr>
              <w:spacing w:line="360" w:lineRule="auto"/>
              <w:jc w:val="left"/>
              <w:rPr>
                <w:rFonts w:hint="eastAsia" w:ascii="宋体" w:hAnsi="宋体"/>
                <w:snapToGrid w:val="0"/>
                <w:color w:val="auto"/>
                <w:kern w:val="0"/>
                <w:szCs w:val="21"/>
                <w:highlight w:val="none"/>
              </w:rPr>
            </w:pPr>
            <w:r>
              <w:rPr>
                <w:color w:val="auto"/>
                <w:highlight w:val="none"/>
              </w:rPr>
              <w:t>2、</w:t>
            </w:r>
            <w:r>
              <w:rPr>
                <w:rFonts w:hint="eastAsia"/>
                <w:color w:val="auto"/>
                <w:highlight w:val="none"/>
              </w:rPr>
              <w:t>代理机构将在收到该款后向成交银行开具发票。成交银行应事先提供开票信息，否则代理机构将开具增值税普通发票。</w:t>
            </w:r>
          </w:p>
        </w:tc>
      </w:tr>
    </w:tbl>
    <w:p w14:paraId="3EB794C6">
      <w:pPr>
        <w:jc w:val="center"/>
        <w:rPr>
          <w:rFonts w:hint="eastAsia" w:ascii="宋体" w:hAnsi="宋体"/>
          <w:b/>
          <w:color w:val="auto"/>
          <w:kern w:val="0"/>
          <w:sz w:val="28"/>
          <w:szCs w:val="20"/>
          <w:highlight w:val="none"/>
        </w:rPr>
      </w:pPr>
      <w:r>
        <w:rPr>
          <w:rFonts w:hint="eastAsia" w:ascii="宋体" w:hAnsi="宋体"/>
          <w:b/>
          <w:color w:val="auto"/>
          <w:kern w:val="0"/>
          <w:sz w:val="28"/>
          <w:szCs w:val="20"/>
          <w:highlight w:val="none"/>
        </w:rPr>
        <w:br w:type="page"/>
      </w:r>
    </w:p>
    <w:p w14:paraId="1B256B3A">
      <w:pPr>
        <w:pStyle w:val="4"/>
        <w:numPr>
          <w:ilvl w:val="0"/>
          <w:numId w:val="0"/>
        </w:numPr>
        <w:jc w:val="center"/>
        <w:rPr>
          <w:rFonts w:hint="eastAsia" w:ascii="宋体" w:hAnsi="宋体" w:eastAsia="宋体"/>
          <w:color w:val="auto"/>
          <w:highlight w:val="none"/>
        </w:rPr>
      </w:pPr>
      <w:r>
        <w:rPr>
          <w:rFonts w:hint="eastAsia" w:ascii="宋体" w:hAnsi="宋体" w:eastAsia="宋体"/>
          <w:color w:val="auto"/>
          <w:highlight w:val="none"/>
        </w:rPr>
        <w:t>二、竞争性磋商须知</w:t>
      </w:r>
    </w:p>
    <w:p w14:paraId="50715ADB">
      <w:pPr>
        <w:spacing w:line="360" w:lineRule="auto"/>
        <w:jc w:val="left"/>
        <w:rPr>
          <w:rFonts w:hint="eastAsia" w:ascii="宋体" w:hAnsi="宋体"/>
          <w:b/>
          <w:color w:val="auto"/>
          <w:szCs w:val="21"/>
          <w:highlight w:val="none"/>
        </w:rPr>
      </w:pPr>
      <w:r>
        <w:rPr>
          <w:rFonts w:hint="eastAsia" w:ascii="宋体" w:hAnsi="宋体"/>
          <w:b/>
          <w:color w:val="auto"/>
          <w:szCs w:val="21"/>
          <w:highlight w:val="none"/>
        </w:rPr>
        <w:t>1、适用范围</w:t>
      </w:r>
    </w:p>
    <w:p w14:paraId="633E3B28">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1.1本竞争性磋商文件仅适用于本次竞争性磋商所述的项目。</w:t>
      </w:r>
    </w:p>
    <w:p w14:paraId="7BC98F61">
      <w:pPr>
        <w:spacing w:line="360" w:lineRule="auto"/>
        <w:rPr>
          <w:rFonts w:hint="eastAsia" w:ascii="宋体" w:hAnsi="宋体"/>
          <w:b/>
          <w:color w:val="auto"/>
          <w:szCs w:val="21"/>
          <w:highlight w:val="none"/>
        </w:rPr>
      </w:pPr>
      <w:r>
        <w:rPr>
          <w:rFonts w:hint="eastAsia" w:ascii="宋体" w:hAnsi="宋体"/>
          <w:b/>
          <w:color w:val="auto"/>
          <w:szCs w:val="21"/>
          <w:highlight w:val="none"/>
        </w:rPr>
        <w:t>2、定义</w:t>
      </w:r>
    </w:p>
    <w:p w14:paraId="287D7C4F">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2.1 “银行方”是指参加磋商，并符合磋商文件规定资格条件的法人、其他组织或者自然人。</w:t>
      </w:r>
    </w:p>
    <w:p w14:paraId="6F387EA3">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2.2 “货物和服务”指本磋商文件中所述产品及相关服务。</w:t>
      </w:r>
    </w:p>
    <w:p w14:paraId="7641692E">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2.3 “院方或采购人”是指使用服务的单位。</w:t>
      </w:r>
    </w:p>
    <w:p w14:paraId="64838CF1">
      <w:pPr>
        <w:spacing w:line="360" w:lineRule="auto"/>
        <w:rPr>
          <w:rFonts w:hint="eastAsia" w:ascii="宋体" w:hAnsi="宋体"/>
          <w:b/>
          <w:color w:val="auto"/>
          <w:szCs w:val="21"/>
          <w:highlight w:val="none"/>
        </w:rPr>
      </w:pPr>
      <w:r>
        <w:rPr>
          <w:rFonts w:hint="eastAsia" w:ascii="宋体" w:hAnsi="宋体"/>
          <w:b/>
          <w:color w:val="auto"/>
          <w:szCs w:val="21"/>
          <w:highlight w:val="none"/>
        </w:rPr>
        <w:t>3、磋商费用</w:t>
      </w:r>
    </w:p>
    <w:p w14:paraId="7A1E7577">
      <w:pPr>
        <w:spacing w:line="360" w:lineRule="auto"/>
        <w:ind w:firstLine="210" w:firstLineChars="100"/>
        <w:rPr>
          <w:color w:val="auto"/>
          <w:highlight w:val="none"/>
        </w:rPr>
      </w:pPr>
      <w:r>
        <w:rPr>
          <w:rFonts w:hint="eastAsia" w:ascii="宋体" w:hAnsi="宋体"/>
          <w:color w:val="auto"/>
          <w:szCs w:val="21"/>
          <w:highlight w:val="none"/>
        </w:rPr>
        <w:t>3.1 银行方应承担所有与准备和参加磋商有关的费用，无论采购结果如何，代理机构和院方在任何情况下均无义务和责任承担这些费用。</w:t>
      </w:r>
    </w:p>
    <w:p w14:paraId="78AFAC95">
      <w:pPr>
        <w:spacing w:line="360" w:lineRule="auto"/>
        <w:jc w:val="left"/>
        <w:rPr>
          <w:rFonts w:hint="eastAsia" w:ascii="宋体" w:hAnsi="宋体"/>
          <w:b/>
          <w:color w:val="auto"/>
          <w:szCs w:val="21"/>
          <w:highlight w:val="none"/>
        </w:rPr>
      </w:pPr>
      <w:r>
        <w:rPr>
          <w:rFonts w:hint="eastAsia" w:ascii="宋体" w:hAnsi="宋体"/>
          <w:b/>
          <w:color w:val="auto"/>
          <w:szCs w:val="21"/>
          <w:highlight w:val="none"/>
        </w:rPr>
        <w:t>4、合格银行</w:t>
      </w:r>
    </w:p>
    <w:p w14:paraId="5F1A6986">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4.1 合格的银行应符合磋商文件载明的参与资格。</w:t>
      </w:r>
    </w:p>
    <w:p w14:paraId="3A2A4654">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4.2 除非磋商文件认可，否则母、子公司之间的业绩、资质不得互用。</w:t>
      </w:r>
    </w:p>
    <w:p w14:paraId="5E3A826E">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4.3 单位负责人为同一人或者存在直接控股、管理关系的不同各银行，不得参加同一合同项下的磋商活动。</w:t>
      </w:r>
    </w:p>
    <w:p w14:paraId="472F4DDE">
      <w:pPr>
        <w:spacing w:line="360" w:lineRule="auto"/>
        <w:rPr>
          <w:rFonts w:hint="eastAsia" w:ascii="宋体" w:hAnsi="宋体"/>
          <w:b/>
          <w:color w:val="auto"/>
          <w:szCs w:val="21"/>
          <w:highlight w:val="none"/>
        </w:rPr>
      </w:pPr>
      <w:r>
        <w:rPr>
          <w:rFonts w:hint="eastAsia" w:ascii="宋体" w:hAnsi="宋体"/>
          <w:b/>
          <w:color w:val="auto"/>
          <w:szCs w:val="21"/>
          <w:highlight w:val="none"/>
        </w:rPr>
        <w:t>5、知识产权</w:t>
      </w:r>
    </w:p>
    <w:p w14:paraId="4F707259">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5.1各银行须保证，院方在中华人民共和国境内使用货物、资料、技术、服务或其任何一部分时，享有不受限制的无偿使用权，不会产生因第三方提出侵犯其专利权、商标权或其它知识产权而引起的法律或经济纠纷。如各银行不拥有相应的知识产权，则在报价中必须包括合法获取该知识产权的一切相关费用。如因此导致院方损失的，各银行须承担全部赔偿责任。</w:t>
      </w:r>
    </w:p>
    <w:p w14:paraId="1E0BEA7C">
      <w:pPr>
        <w:spacing w:line="360" w:lineRule="auto"/>
        <w:rPr>
          <w:rFonts w:hint="eastAsia" w:ascii="宋体" w:hAnsi="宋体"/>
          <w:b/>
          <w:color w:val="auto"/>
          <w:szCs w:val="21"/>
          <w:highlight w:val="none"/>
        </w:rPr>
      </w:pPr>
      <w:r>
        <w:rPr>
          <w:rFonts w:hint="eastAsia" w:ascii="宋体" w:hAnsi="宋体"/>
          <w:b/>
          <w:color w:val="auto"/>
          <w:szCs w:val="21"/>
          <w:highlight w:val="none"/>
        </w:rPr>
        <w:t>6、纪律与保密</w:t>
      </w:r>
    </w:p>
    <w:p w14:paraId="7B20EFC2">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6.1各银行参与磋商的行为应遵守中国的有关法律、法规和规章。</w:t>
      </w:r>
    </w:p>
    <w:p w14:paraId="66D9B8C0">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6.2各银行不得相互串通报价，不得妨碍其他各银行的公平竞争，不得损害院方或其他各银行的合法权益，各银行不得以向院方、磋商小组成员行贿或者其他不正当手段谋取成交。</w:t>
      </w:r>
    </w:p>
    <w:p w14:paraId="64475BF8">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有下列情形之一的，视为各银行串通，其响应无效：</w:t>
      </w:r>
    </w:p>
    <w:p w14:paraId="6063DB24">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6.2.1不同银行的响应文件由同一单位或者个人编制；</w:t>
      </w:r>
    </w:p>
    <w:p w14:paraId="2D67B7FF">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6.2.2不同银行委托同一单位或者个人办理磋商事宜；</w:t>
      </w:r>
    </w:p>
    <w:p w14:paraId="7E127CCC">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6.2.3不同银行的响应文件载明的项目管理成员或者联系人员为同一人；</w:t>
      </w:r>
    </w:p>
    <w:p w14:paraId="33385D38">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6.2.4不同银行的响应文件异常一致或者响应报价呈规律性差异；</w:t>
      </w:r>
    </w:p>
    <w:p w14:paraId="7EF86CD3">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6.2.5不同银行的响应文件相互混装；</w:t>
      </w:r>
    </w:p>
    <w:p w14:paraId="233B3EAF">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6.3在确定成交银行之前，各银行不得与院方就方案等实质性内容进行谈判，也不得私下接触磋商小组成员。</w:t>
      </w:r>
    </w:p>
    <w:p w14:paraId="09219708">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6.4在确定成交银行之前，各银行试图在响应文件审查、澄清、比较和评价时对磋商小组、院方和代理机构施加任何影响都可能导致其响应无效。</w:t>
      </w:r>
    </w:p>
    <w:p w14:paraId="0089B292">
      <w:pPr>
        <w:spacing w:line="360" w:lineRule="auto"/>
        <w:rPr>
          <w:rFonts w:hint="eastAsia" w:ascii="宋体" w:hAnsi="宋体"/>
          <w:b/>
          <w:color w:val="auto"/>
          <w:szCs w:val="21"/>
          <w:highlight w:val="none"/>
        </w:rPr>
      </w:pPr>
      <w:r>
        <w:rPr>
          <w:rFonts w:hint="eastAsia" w:ascii="宋体" w:hAnsi="宋体"/>
          <w:b/>
          <w:color w:val="auto"/>
          <w:szCs w:val="21"/>
          <w:highlight w:val="none"/>
        </w:rPr>
        <w:t>7.联合体响应</w:t>
      </w:r>
    </w:p>
    <w:p w14:paraId="430A7D63">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本项目不接受联合体。</w:t>
      </w:r>
    </w:p>
    <w:p w14:paraId="3AD474CC">
      <w:pPr>
        <w:spacing w:line="360" w:lineRule="auto"/>
        <w:rPr>
          <w:rFonts w:hint="eastAsia" w:ascii="宋体" w:hAnsi="宋体"/>
          <w:b/>
          <w:color w:val="auto"/>
          <w:szCs w:val="21"/>
          <w:highlight w:val="none"/>
        </w:rPr>
      </w:pPr>
      <w:r>
        <w:rPr>
          <w:rFonts w:hint="eastAsia" w:ascii="宋体" w:hAnsi="宋体"/>
          <w:b/>
          <w:color w:val="auto"/>
          <w:szCs w:val="21"/>
          <w:highlight w:val="none"/>
        </w:rPr>
        <w:t>8、响应文件的构成</w:t>
      </w:r>
    </w:p>
    <w:p w14:paraId="4603A81B">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8.1 各银行应当根据磋商文件要求编制响应文件，并根据自己的商务能力、技术水平对磋商文件提出的要求和条件逐条标明是否响应。响应文件由商务部分、技术部分、价格部分组成。</w:t>
      </w:r>
    </w:p>
    <w:p w14:paraId="6495A42E">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8.2响应</w:t>
      </w:r>
      <w:r>
        <w:rPr>
          <w:rFonts w:hint="eastAsia" w:ascii="宋体" w:hAnsi="宋体"/>
          <w:color w:val="auto"/>
          <w:szCs w:val="21"/>
          <w:highlight w:val="none"/>
          <w:lang w:val="zh-CN"/>
        </w:rPr>
        <w:t>文件</w:t>
      </w:r>
      <w:r>
        <w:rPr>
          <w:rFonts w:hint="eastAsia" w:ascii="宋体" w:hAnsi="宋体"/>
          <w:color w:val="auto"/>
          <w:szCs w:val="21"/>
          <w:highlight w:val="none"/>
        </w:rPr>
        <w:t>需</w:t>
      </w:r>
      <w:r>
        <w:rPr>
          <w:rFonts w:hint="eastAsia" w:ascii="宋体" w:hAnsi="宋体"/>
          <w:color w:val="auto"/>
          <w:szCs w:val="21"/>
          <w:highlight w:val="none"/>
          <w:lang w:val="zh-CN"/>
        </w:rPr>
        <w:t>有序编制，同时逐页编制页码及目录，以便</w:t>
      </w:r>
      <w:r>
        <w:rPr>
          <w:rFonts w:hint="eastAsia" w:ascii="宋体" w:hAnsi="宋体"/>
          <w:color w:val="auto"/>
          <w:szCs w:val="21"/>
          <w:highlight w:val="none"/>
        </w:rPr>
        <w:t>磋商小组</w:t>
      </w:r>
      <w:r>
        <w:rPr>
          <w:rFonts w:hint="eastAsia" w:ascii="宋体" w:hAnsi="宋体"/>
          <w:color w:val="auto"/>
          <w:szCs w:val="21"/>
          <w:highlight w:val="none"/>
          <w:lang w:val="zh-CN"/>
        </w:rPr>
        <w:t>评审（如因编制混乱导致</w:t>
      </w:r>
      <w:r>
        <w:rPr>
          <w:rFonts w:hint="eastAsia" w:ascii="宋体" w:hAnsi="宋体"/>
          <w:color w:val="auto"/>
          <w:szCs w:val="21"/>
          <w:highlight w:val="none"/>
        </w:rPr>
        <w:t>磋商小组专家</w:t>
      </w:r>
      <w:r>
        <w:rPr>
          <w:rFonts w:hint="eastAsia" w:ascii="宋体" w:hAnsi="宋体"/>
          <w:color w:val="auto"/>
          <w:szCs w:val="21"/>
          <w:highlight w:val="none"/>
          <w:lang w:val="zh-CN"/>
        </w:rPr>
        <w:t>在评审中出现疏漏，所有后果由</w:t>
      </w:r>
      <w:r>
        <w:rPr>
          <w:rFonts w:hint="eastAsia" w:ascii="宋体" w:hAnsi="宋体"/>
          <w:color w:val="auto"/>
          <w:szCs w:val="21"/>
          <w:highlight w:val="none"/>
        </w:rPr>
        <w:t>各银行</w:t>
      </w:r>
      <w:r>
        <w:rPr>
          <w:rFonts w:hint="eastAsia" w:ascii="宋体" w:hAnsi="宋体"/>
          <w:color w:val="auto"/>
          <w:szCs w:val="21"/>
          <w:highlight w:val="none"/>
          <w:lang w:val="zh-CN"/>
        </w:rPr>
        <w:t>自行承担）</w:t>
      </w:r>
    </w:p>
    <w:p w14:paraId="788717BE">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8.3响应文件报价是对服务价格构成的说明，磋商文件如没有特别说明的话，对每一项服务仅接受一个价格。</w:t>
      </w:r>
    </w:p>
    <w:p w14:paraId="58C6D26D">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8.4 各银行必须对其响应文件的真实性与准确性负责。各银行一旦成交，其响应文件将作为合同的重要组成部分。</w:t>
      </w:r>
    </w:p>
    <w:p w14:paraId="7BECE69D">
      <w:pPr>
        <w:spacing w:line="360" w:lineRule="auto"/>
        <w:ind w:firstLine="210" w:firstLineChars="100"/>
        <w:rPr>
          <w:rFonts w:hint="eastAsia" w:ascii="宋体" w:hAnsi="宋体"/>
          <w:color w:val="auto"/>
          <w:szCs w:val="21"/>
          <w:highlight w:val="none"/>
          <w:lang w:val="zh-CN"/>
        </w:rPr>
      </w:pPr>
      <w:r>
        <w:rPr>
          <w:rFonts w:hint="eastAsia" w:ascii="宋体" w:hAnsi="宋体"/>
          <w:color w:val="auto"/>
          <w:szCs w:val="21"/>
          <w:highlight w:val="none"/>
        </w:rPr>
        <w:t>8.5 响应文件</w:t>
      </w:r>
      <w:r>
        <w:rPr>
          <w:rFonts w:hint="eastAsia" w:ascii="宋体" w:hAnsi="宋体"/>
          <w:color w:val="auto"/>
          <w:szCs w:val="21"/>
          <w:highlight w:val="none"/>
          <w:lang w:val="zh-CN"/>
        </w:rPr>
        <w:t>提供</w:t>
      </w:r>
      <w:r>
        <w:rPr>
          <w:rFonts w:hint="eastAsia" w:ascii="宋体" w:hAnsi="宋体"/>
          <w:color w:val="auto"/>
          <w:szCs w:val="21"/>
          <w:highlight w:val="none"/>
        </w:rPr>
        <w:t>资料</w:t>
      </w:r>
      <w:r>
        <w:rPr>
          <w:rFonts w:hint="eastAsia" w:ascii="宋体" w:hAnsi="宋体"/>
          <w:color w:val="auto"/>
          <w:szCs w:val="21"/>
          <w:highlight w:val="none"/>
          <w:lang w:val="zh-CN"/>
        </w:rPr>
        <w:t>不全，导致</w:t>
      </w:r>
      <w:r>
        <w:rPr>
          <w:rFonts w:hint="eastAsia" w:ascii="宋体" w:hAnsi="宋体"/>
          <w:color w:val="auto"/>
          <w:szCs w:val="21"/>
          <w:highlight w:val="none"/>
        </w:rPr>
        <w:t>磋商小组</w:t>
      </w:r>
      <w:r>
        <w:rPr>
          <w:rFonts w:hint="eastAsia" w:ascii="宋体" w:hAnsi="宋体"/>
          <w:color w:val="auto"/>
          <w:szCs w:val="21"/>
          <w:highlight w:val="none"/>
          <w:lang w:val="zh-CN"/>
        </w:rPr>
        <w:t>认定该</w:t>
      </w:r>
      <w:r>
        <w:rPr>
          <w:rFonts w:hint="eastAsia" w:ascii="宋体" w:hAnsi="宋体"/>
          <w:color w:val="auto"/>
          <w:szCs w:val="21"/>
          <w:highlight w:val="none"/>
        </w:rPr>
        <w:t>响应文件</w:t>
      </w:r>
      <w:r>
        <w:rPr>
          <w:rFonts w:hint="eastAsia" w:ascii="宋体" w:hAnsi="宋体"/>
          <w:color w:val="auto"/>
          <w:szCs w:val="21"/>
          <w:highlight w:val="none"/>
          <w:lang w:val="zh-CN"/>
        </w:rPr>
        <w:t>未对</w:t>
      </w:r>
      <w:r>
        <w:rPr>
          <w:rFonts w:hint="eastAsia" w:ascii="宋体" w:hAnsi="宋体"/>
          <w:color w:val="auto"/>
          <w:szCs w:val="21"/>
          <w:highlight w:val="none"/>
        </w:rPr>
        <w:t>磋商</w:t>
      </w:r>
      <w:r>
        <w:rPr>
          <w:rFonts w:hint="eastAsia" w:ascii="宋体" w:hAnsi="宋体"/>
          <w:color w:val="auto"/>
          <w:szCs w:val="21"/>
          <w:highlight w:val="none"/>
          <w:lang w:val="zh-CN"/>
        </w:rPr>
        <w:t>文件作出实质性响应的，其</w:t>
      </w:r>
      <w:r>
        <w:rPr>
          <w:rFonts w:hint="eastAsia" w:ascii="宋体" w:hAnsi="宋体"/>
          <w:color w:val="auto"/>
          <w:szCs w:val="21"/>
          <w:highlight w:val="none"/>
        </w:rPr>
        <w:t>响应文件</w:t>
      </w:r>
      <w:r>
        <w:rPr>
          <w:rFonts w:hint="eastAsia" w:ascii="宋体" w:hAnsi="宋体"/>
          <w:color w:val="auto"/>
          <w:szCs w:val="21"/>
          <w:highlight w:val="none"/>
          <w:lang w:val="zh-CN"/>
        </w:rPr>
        <w:t>将被拒绝。</w:t>
      </w:r>
    </w:p>
    <w:p w14:paraId="119421FA">
      <w:pPr>
        <w:spacing w:line="360" w:lineRule="auto"/>
        <w:rPr>
          <w:rFonts w:hint="eastAsia" w:ascii="宋体" w:hAnsi="宋体"/>
          <w:b/>
          <w:color w:val="auto"/>
          <w:szCs w:val="21"/>
          <w:highlight w:val="none"/>
        </w:rPr>
      </w:pPr>
      <w:r>
        <w:rPr>
          <w:rFonts w:hint="eastAsia" w:ascii="宋体" w:hAnsi="宋体"/>
          <w:b/>
          <w:color w:val="auto"/>
          <w:szCs w:val="21"/>
          <w:highlight w:val="none"/>
        </w:rPr>
        <w:t>9、响应文件的修改和撤回</w:t>
      </w:r>
    </w:p>
    <w:p w14:paraId="651E2144">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9.1各银行在响应截止时间前，可以对所递交的响应文件进行补充、修改或撤回，并书面通知代理机构。补充、修改的内容应当按照磋商文件要求签署、盖章、密封后，作为响应文件的组成部分。</w:t>
      </w:r>
    </w:p>
    <w:p w14:paraId="200E9233">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9.2 响应截止时间后，响应文件不能修改和撤回。</w:t>
      </w:r>
    </w:p>
    <w:p w14:paraId="481723BB">
      <w:pPr>
        <w:spacing w:line="360" w:lineRule="auto"/>
        <w:rPr>
          <w:rFonts w:hint="eastAsia" w:ascii="宋体" w:hAnsi="宋体"/>
          <w:b/>
          <w:color w:val="auto"/>
          <w:szCs w:val="21"/>
          <w:highlight w:val="none"/>
        </w:rPr>
      </w:pPr>
      <w:r>
        <w:rPr>
          <w:rFonts w:hint="eastAsia" w:ascii="宋体" w:hAnsi="宋体"/>
          <w:b/>
          <w:color w:val="auto"/>
          <w:szCs w:val="21"/>
          <w:highlight w:val="none"/>
        </w:rPr>
        <w:t>10、磋商组织及程序</w:t>
      </w:r>
    </w:p>
    <w:p w14:paraId="6DCE10BB">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10.1 在提交响应文件时间截止后，代理机构在规定的时间和地点组织磋商小组分别与各银行进行磋商。</w:t>
      </w:r>
    </w:p>
    <w:p w14:paraId="3FEA3EEC">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10.2 磋商工作由代理机构负责组织，具体磋商事务由依法组建的磋商小组负责。</w:t>
      </w:r>
    </w:p>
    <w:p w14:paraId="486C77A6">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10.3 磋商小组评审各银行所递交的响应性文件，并根据磋商文件规定的程序、评定成交的标准等事项与实质性响应磋商文件要求的各银行进行磋商。未实质性响应磋商文件的响应文件按无效处理，磋商小组应告知有关银行。</w:t>
      </w:r>
    </w:p>
    <w:p w14:paraId="7081837D">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10.4 磋商小组所有成员集中与单一各银行分别进行磋商，所有参加磋商的各银行均有同等的磋商机会。</w:t>
      </w:r>
    </w:p>
    <w:p w14:paraId="7E9F1449">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10.5磋商过程中，磋商小组可以根据磋商文件和磋商情况可能实质性变动采购需求中的技术、服务要求以及合同草案条款。实质性变动是磋商文件的有效组成部分，磋商小组将以书面形式通知所有参加磋商的各银行。用“★”加注或特别说明的内容为实质性要求。</w:t>
      </w:r>
    </w:p>
    <w:p w14:paraId="086D37AB">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10.6各银行应当按照磋商文件的变动情况和磋商小组的要求重新提交响应文件，应由其法定代表人或授权委托人签字或者加盖公章。</w:t>
      </w:r>
    </w:p>
    <w:p w14:paraId="723672BE">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10.7磋商结束后，磋商小组将要求所有继续参加磋商的银行在规定时间内提交最后报价，并由其法定代表人或授权委托人签字或者加盖公章。最后报价是各银行响应文件的有效组成部分。</w:t>
      </w:r>
    </w:p>
    <w:p w14:paraId="6714A540">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10.8已提交响应文件的银行，在提交最后报价之前，可以根据磋商情况退出磋商。</w:t>
      </w:r>
    </w:p>
    <w:p w14:paraId="11E7620F">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10.9 磋商小组负责具体磋商事务，并独立履行下列职责：</w:t>
      </w:r>
    </w:p>
    <w:p w14:paraId="37AC7071">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（一）审查、评价响应文件是否符合磋商文件的商务、技术等实质性要求；</w:t>
      </w:r>
    </w:p>
    <w:p w14:paraId="5582332D">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（二）要求各银行对响应文件有关事项作出澄清或者说明；</w:t>
      </w:r>
    </w:p>
    <w:p w14:paraId="11298872">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（三）对响应文件进行比较和评价；</w:t>
      </w:r>
    </w:p>
    <w:p w14:paraId="5B2340F7">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（四）根据文件确定成交候选人名单，院方在推荐的成交候选人名单中按顺序确定第一名为成交银行；</w:t>
      </w:r>
    </w:p>
    <w:p w14:paraId="5D06CDF6">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（五）向院方、代理机构或者有关部门报告评标中发现的违法行为。</w:t>
      </w:r>
    </w:p>
    <w:p w14:paraId="11FB6D18">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10.10出现下列情形之一的响应文件按照无效处理：</w:t>
      </w:r>
    </w:p>
    <w:p w14:paraId="3BD617E8">
      <w:pPr>
        <w:spacing w:line="40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（1）未按时到达开标现场的；</w:t>
      </w:r>
    </w:p>
    <w:p w14:paraId="0E1334BB">
      <w:pPr>
        <w:spacing w:line="40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（2）未按磋商文件规定签署、盖章的；</w:t>
      </w:r>
    </w:p>
    <w:p w14:paraId="51E9AE58">
      <w:pPr>
        <w:spacing w:line="40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（3）供应商同一采购包提交两个（含两个）以上不同的响应报价的；</w:t>
      </w:r>
    </w:p>
    <w:p w14:paraId="15C1C034">
      <w:pPr>
        <w:spacing w:line="40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（4）不具备磋商文件规定资格条件的；</w:t>
      </w:r>
    </w:p>
    <w:p w14:paraId="0BF11D49">
      <w:pPr>
        <w:spacing w:line="40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5）供应商被“信用中国”网站（www.creditchina.gov.cn）、“中国政府采购网"(www.ccgp.gov.cn)等渠道列入失信被执行人、重大税收违法案件当事人、政府采购严重违法失信行为记录名单的。接受联合体的项目，两个以上的自然人、法人或者其他组织组成一个联合体，以一个供应商的身份共同参加采购活动的，联合体成员存在不良信用记录的，视同联合体存在不良信用记录；</w:t>
      </w:r>
    </w:p>
    <w:p w14:paraId="71459DA6">
      <w:pPr>
        <w:spacing w:line="40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（6）未实质性响应磋商文件要求的；</w:t>
      </w:r>
    </w:p>
    <w:p w14:paraId="23377076">
      <w:pPr>
        <w:spacing w:line="40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（7）属于磋商公告中第七条第1款拒绝参加本次采购活动供应商的；</w:t>
      </w:r>
    </w:p>
    <w:p w14:paraId="04AD3292">
      <w:pPr>
        <w:spacing w:line="40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（8）磋商小组按照本磋商文件规定对供应商进行异常低价响应审查后，认为供应商不能证明其报价合理性的；</w:t>
      </w:r>
    </w:p>
    <w:p w14:paraId="640F1F28">
      <w:pPr>
        <w:spacing w:line="360" w:lineRule="auto"/>
        <w:ind w:firstLine="210" w:firstLineChars="100"/>
        <w:rPr>
          <w:rFonts w:hint="eastAsia" w:ascii="宋体" w:hAnsi="宋体"/>
          <w:color w:val="auto"/>
          <w:szCs w:val="21"/>
          <w:highlight w:val="none"/>
        </w:rPr>
      </w:pPr>
      <w:r>
        <w:rPr>
          <w:rFonts w:hint="eastAsia" w:ascii="宋体" w:hAnsi="宋体" w:cs="宋体"/>
          <w:color w:val="auto"/>
          <w:szCs w:val="21"/>
          <w:highlight w:val="none"/>
        </w:rPr>
        <w:t>（9）不符合法律、法规和采购文件规定的其他实质性要求的。</w:t>
      </w:r>
    </w:p>
    <w:p w14:paraId="550B07CE">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10.11 出现下列情形之一的，磋商终止：</w:t>
      </w:r>
    </w:p>
    <w:p w14:paraId="4D510B34">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s="宋体"/>
          <w:color w:val="auto"/>
          <w:szCs w:val="21"/>
          <w:highlight w:val="none"/>
        </w:rPr>
        <w:t>在采购过程中符合要求的银行或者报价未超过采购预算的银行不足3家的；</w:t>
      </w:r>
    </w:p>
    <w:p w14:paraId="0CB05826">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（2）所有银行的响应文件被磋商小组认定为无效的；</w:t>
      </w:r>
    </w:p>
    <w:p w14:paraId="5B3B1F8D">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（3）出现影响采购公正的违法、违规行为的；</w:t>
      </w:r>
    </w:p>
    <w:p w14:paraId="528AABC4">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（4）所有银行的最终报价超过采购预算或最高限价的；</w:t>
      </w:r>
    </w:p>
    <w:p w14:paraId="2F3824BA">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（5）因重大变故，采购任务取消的；</w:t>
      </w:r>
    </w:p>
    <w:p w14:paraId="7C3921A9">
      <w:pPr>
        <w:spacing w:line="360" w:lineRule="auto"/>
        <w:ind w:firstLine="210" w:firstLineChars="100"/>
        <w:rPr>
          <w:rFonts w:hint="eastAsia" w:ascii="宋体" w:hAnsi="宋体"/>
          <w:b/>
          <w:color w:val="auto"/>
          <w:szCs w:val="21"/>
          <w:highlight w:val="none"/>
        </w:rPr>
      </w:pPr>
      <w:r>
        <w:rPr>
          <w:rFonts w:hint="eastAsia" w:ascii="宋体" w:hAnsi="宋体"/>
          <w:color w:val="auto"/>
          <w:szCs w:val="21"/>
          <w:highlight w:val="none"/>
        </w:rPr>
        <w:t>（6）院方需求发生重大变化暂时不能确定或银行提供的货物和服务不能满足需求等。</w:t>
      </w:r>
    </w:p>
    <w:p w14:paraId="477B7BFB">
      <w:pPr>
        <w:spacing w:line="360" w:lineRule="auto"/>
        <w:rPr>
          <w:rFonts w:hint="eastAsia" w:ascii="宋体" w:hAnsi="宋体"/>
          <w:b/>
          <w:color w:val="auto"/>
          <w:szCs w:val="21"/>
          <w:highlight w:val="none"/>
        </w:rPr>
      </w:pPr>
      <w:r>
        <w:rPr>
          <w:rFonts w:hint="eastAsia" w:ascii="宋体" w:hAnsi="宋体"/>
          <w:b/>
          <w:color w:val="auto"/>
          <w:szCs w:val="21"/>
          <w:highlight w:val="none"/>
        </w:rPr>
        <w:t>11、磋商程序</w:t>
      </w:r>
    </w:p>
    <w:p w14:paraId="4E13AC2F">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11.1响应文件的资格性检查。院方或者代理机构应当依法对银行的资格进行审查。</w:t>
      </w:r>
    </w:p>
    <w:p w14:paraId="6FF113B4">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11.2响应文件的符合性审查。磋商小组对符合资格的银行的响应文件进行符合性审查，以确定其是否满足磋商文件的实质性要求。</w:t>
      </w:r>
    </w:p>
    <w:p w14:paraId="69B83F58">
      <w:pPr>
        <w:spacing w:line="360" w:lineRule="auto"/>
        <w:rPr>
          <w:rFonts w:hint="eastAsia" w:ascii="宋体" w:hAnsi="宋体"/>
          <w:b/>
          <w:color w:val="auto"/>
          <w:szCs w:val="21"/>
          <w:highlight w:val="none"/>
        </w:rPr>
      </w:pPr>
      <w:r>
        <w:rPr>
          <w:rFonts w:hint="eastAsia" w:ascii="宋体" w:hAnsi="宋体"/>
          <w:b/>
          <w:color w:val="auto"/>
          <w:szCs w:val="21"/>
          <w:highlight w:val="none"/>
        </w:rPr>
        <w:t>12、评定成交方法和标准</w:t>
      </w:r>
    </w:p>
    <w:p w14:paraId="76C7E72D">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12.1 采用综合评分法。即在最大限度地满足竞争性磋商文件实质性要求前提下，按照磋商文件中规定的各项因素进行综合评审后，以评审总得分最高的第一名作为成交银行的评审方法。评分统计方法采用百分制，将全部磋商小组成员评分直接进行算数平均，小数点后保留2位。</w:t>
      </w:r>
    </w:p>
    <w:p w14:paraId="797603EC">
      <w:pPr>
        <w:spacing w:line="360" w:lineRule="auto"/>
        <w:rPr>
          <w:rFonts w:hint="eastAsia" w:ascii="宋体" w:hAnsi="宋体"/>
          <w:b/>
          <w:color w:val="auto"/>
          <w:szCs w:val="21"/>
          <w:highlight w:val="none"/>
        </w:rPr>
      </w:pPr>
      <w:r>
        <w:rPr>
          <w:rFonts w:hint="eastAsia" w:ascii="宋体" w:hAnsi="宋体"/>
          <w:b/>
          <w:color w:val="auto"/>
          <w:szCs w:val="21"/>
          <w:highlight w:val="none"/>
        </w:rPr>
        <w:t>13、确定成交银行</w:t>
      </w:r>
    </w:p>
    <w:p w14:paraId="1CEF4E8F">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13.1在综合比较与评价后按照得分高低顺序对银行进行排列。最终得分相同时，报价得分高者优先；最终得分、报价得分均相同，按照三、成交标准约定的办法确定。磋商小组将严格按照采购文件的要求和条件进行比较,根据评审办法推荐出成交候选银行。</w:t>
      </w:r>
    </w:p>
    <w:p w14:paraId="24099AF5">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13.2成交银行确定后，将在原发布媒体上公告，成交银行及时到代理公司领取成交通知书。</w:t>
      </w:r>
    </w:p>
    <w:p w14:paraId="4B3645E8">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13.3 成交通知书对院方和成交银行具有同等法律效力。</w:t>
      </w:r>
    </w:p>
    <w:p w14:paraId="2829BEEB">
      <w:pPr>
        <w:spacing w:line="360" w:lineRule="auto"/>
        <w:rPr>
          <w:rFonts w:hint="eastAsia" w:ascii="宋体" w:hAnsi="宋体"/>
          <w:b/>
          <w:color w:val="auto"/>
          <w:szCs w:val="21"/>
          <w:highlight w:val="none"/>
        </w:rPr>
      </w:pPr>
      <w:r>
        <w:rPr>
          <w:rFonts w:hint="eastAsia" w:ascii="宋体" w:hAnsi="宋体"/>
          <w:b/>
          <w:color w:val="auto"/>
          <w:szCs w:val="21"/>
          <w:highlight w:val="none"/>
        </w:rPr>
        <w:t>14、编写评审报告</w:t>
      </w:r>
    </w:p>
    <w:p w14:paraId="0A7E45C5">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14.1磋商小组根据磋商过程和结果编写评审报告。</w:t>
      </w:r>
    </w:p>
    <w:p w14:paraId="31D408AC">
      <w:pPr>
        <w:spacing w:line="360" w:lineRule="auto"/>
        <w:rPr>
          <w:rFonts w:hint="eastAsia" w:ascii="宋体" w:hAnsi="宋体"/>
          <w:b/>
          <w:color w:val="auto"/>
          <w:szCs w:val="21"/>
          <w:highlight w:val="none"/>
        </w:rPr>
      </w:pPr>
      <w:r>
        <w:rPr>
          <w:rFonts w:hint="eastAsia" w:ascii="宋体" w:hAnsi="宋体"/>
          <w:b/>
          <w:color w:val="auto"/>
          <w:szCs w:val="21"/>
          <w:highlight w:val="none"/>
        </w:rPr>
        <w:t>15.签订合同</w:t>
      </w:r>
    </w:p>
    <w:p w14:paraId="4EA047CD">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15.1除不可抗力等因素外，成交通知书发出后，院方改变成交结果，或者成交银行拒绝签订采购合同的，应当承担相应的法律责任。</w:t>
      </w:r>
    </w:p>
    <w:p w14:paraId="1E4FC4C6">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15.2 成交银行除发生法律规定的不能预见、不能避免并不能克服的客观情况外不得放弃或拒绝签订合同的。放弃或拒绝签订合同的，院方视情将其列入不良行为名单，在一至三年内不得参加院方组织的采购活动。</w:t>
      </w:r>
    </w:p>
    <w:p w14:paraId="0D095771">
      <w:pPr>
        <w:spacing w:line="360" w:lineRule="auto"/>
        <w:ind w:firstLine="210" w:firstLineChars="100"/>
        <w:rPr>
          <w:rFonts w:hint="eastAsia" w:ascii="宋体" w:hAnsi="宋体"/>
          <w:color w:val="auto"/>
          <w:szCs w:val="21"/>
          <w:highlight w:val="none"/>
        </w:rPr>
      </w:pPr>
      <w:r>
        <w:rPr>
          <w:rFonts w:hint="eastAsia" w:ascii="宋体" w:hAnsi="宋体"/>
          <w:color w:val="auto"/>
          <w:szCs w:val="21"/>
          <w:highlight w:val="none"/>
        </w:rPr>
        <w:t>15.3成交银行拒绝签订采购合同的，或因不可抗力或者自身原因不能履行采购合同的，院方可以视情与排位在成交银行之后第一位的候选银行签订合同，也可以重新开展活动。</w:t>
      </w:r>
    </w:p>
    <w:p w14:paraId="23BF1155">
      <w:pPr>
        <w:pStyle w:val="4"/>
        <w:numPr>
          <w:ilvl w:val="0"/>
          <w:numId w:val="0"/>
        </w:numPr>
        <w:jc w:val="center"/>
        <w:rPr>
          <w:rFonts w:hint="eastAsia" w:ascii="宋体" w:hAnsi="宋体" w:eastAsia="宋体"/>
          <w:color w:val="auto"/>
          <w:kern w:val="2"/>
          <w:szCs w:val="28"/>
          <w:highlight w:val="none"/>
        </w:rPr>
      </w:pPr>
      <w:r>
        <w:rPr>
          <w:rFonts w:hint="eastAsia" w:ascii="宋体" w:hAnsi="宋体" w:eastAsia="宋体"/>
          <w:color w:val="auto"/>
          <w:kern w:val="2"/>
          <w:szCs w:val="28"/>
          <w:highlight w:val="none"/>
        </w:rPr>
        <w:t>三、成交标准</w:t>
      </w:r>
    </w:p>
    <w:p w14:paraId="0444B6D0">
      <w:pPr>
        <w:tabs>
          <w:tab w:val="left" w:pos="1260"/>
        </w:tabs>
        <w:spacing w:line="380" w:lineRule="exact"/>
        <w:jc w:val="left"/>
        <w:rPr>
          <w:rFonts w:hint="eastAsia" w:ascii="宋体" w:hAnsi="宋体" w:cs="宋体"/>
          <w:b/>
          <w:bCs/>
          <w:color w:val="auto"/>
          <w:szCs w:val="21"/>
          <w:highlight w:val="none"/>
        </w:rPr>
      </w:pPr>
      <w:r>
        <w:rPr>
          <w:rFonts w:hint="eastAsia" w:ascii="宋体" w:hAnsi="宋体" w:cs="宋体"/>
          <w:b/>
          <w:bCs/>
          <w:color w:val="auto"/>
          <w:szCs w:val="21"/>
          <w:highlight w:val="none"/>
        </w:rPr>
        <w:t>一、资格审查：</w:t>
      </w:r>
    </w:p>
    <w:p w14:paraId="30EEE1EE">
      <w:pPr>
        <w:pStyle w:val="28"/>
        <w:spacing w:line="400" w:lineRule="exact"/>
        <w:ind w:firstLine="420" w:firstLineChars="200"/>
        <w:rPr>
          <w:rFonts w:hint="eastAsia" w:hAnsi="宋体"/>
          <w:color w:val="auto"/>
          <w:kern w:val="2"/>
          <w:sz w:val="21"/>
          <w:szCs w:val="21"/>
          <w:highlight w:val="none"/>
        </w:rPr>
      </w:pPr>
      <w:r>
        <w:rPr>
          <w:rFonts w:hint="eastAsia" w:hAnsi="宋体"/>
          <w:color w:val="auto"/>
          <w:kern w:val="2"/>
          <w:sz w:val="21"/>
          <w:szCs w:val="21"/>
          <w:highlight w:val="none"/>
        </w:rPr>
        <w:t>磋商小组按照下列指标对各银行进行资格审查，未通过评审的为无效标，不再参与评审。</w:t>
      </w:r>
    </w:p>
    <w:tbl>
      <w:tblPr>
        <w:tblStyle w:val="23"/>
        <w:tblW w:w="5193" w:type="pct"/>
        <w:tblInd w:w="-1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58"/>
        <w:gridCol w:w="6155"/>
        <w:gridCol w:w="2520"/>
      </w:tblGrid>
      <w:tr w14:paraId="12F02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trPr>
        <w:tc>
          <w:tcPr>
            <w:tcW w:w="758" w:type="dxa"/>
            <w:vAlign w:val="center"/>
          </w:tcPr>
          <w:p w14:paraId="7C52A2FE">
            <w:pPr>
              <w:pStyle w:val="28"/>
              <w:spacing w:line="400" w:lineRule="exact"/>
              <w:jc w:val="center"/>
              <w:rPr>
                <w:rFonts w:hint="eastAsia" w:hAnsi="宋体"/>
                <w:b/>
                <w:bCs/>
                <w:color w:val="auto"/>
                <w:kern w:val="2"/>
                <w:sz w:val="21"/>
                <w:szCs w:val="21"/>
                <w:highlight w:val="none"/>
              </w:rPr>
            </w:pPr>
            <w:r>
              <w:rPr>
                <w:rFonts w:hint="eastAsia" w:hAnsi="宋体"/>
                <w:b/>
                <w:bCs/>
                <w:color w:val="auto"/>
                <w:kern w:val="2"/>
                <w:sz w:val="21"/>
                <w:szCs w:val="21"/>
                <w:highlight w:val="none"/>
              </w:rPr>
              <w:t>序号</w:t>
            </w:r>
          </w:p>
        </w:tc>
        <w:tc>
          <w:tcPr>
            <w:tcW w:w="6148" w:type="dxa"/>
            <w:vAlign w:val="center"/>
          </w:tcPr>
          <w:p w14:paraId="39CEB403">
            <w:pPr>
              <w:pStyle w:val="28"/>
              <w:spacing w:line="400" w:lineRule="exact"/>
              <w:ind w:firstLine="422" w:firstLineChars="200"/>
              <w:jc w:val="center"/>
              <w:rPr>
                <w:rFonts w:hint="eastAsia" w:hAnsi="宋体"/>
                <w:b/>
                <w:bCs/>
                <w:color w:val="auto"/>
                <w:kern w:val="2"/>
                <w:sz w:val="21"/>
                <w:szCs w:val="21"/>
                <w:highlight w:val="none"/>
              </w:rPr>
            </w:pPr>
            <w:r>
              <w:rPr>
                <w:rFonts w:hint="eastAsia" w:hAnsi="宋体"/>
                <w:b/>
                <w:bCs/>
                <w:color w:val="auto"/>
                <w:kern w:val="2"/>
                <w:sz w:val="21"/>
                <w:szCs w:val="21"/>
                <w:highlight w:val="none"/>
              </w:rPr>
              <w:t>资格审查因素</w:t>
            </w:r>
          </w:p>
        </w:tc>
        <w:tc>
          <w:tcPr>
            <w:tcW w:w="2517" w:type="dxa"/>
            <w:vAlign w:val="center"/>
          </w:tcPr>
          <w:p w14:paraId="07BA81E3">
            <w:pPr>
              <w:pStyle w:val="28"/>
              <w:spacing w:line="400" w:lineRule="exact"/>
              <w:jc w:val="center"/>
              <w:rPr>
                <w:rFonts w:hint="eastAsia" w:hAnsi="宋体"/>
                <w:b/>
                <w:bCs/>
                <w:color w:val="auto"/>
                <w:kern w:val="2"/>
                <w:sz w:val="21"/>
                <w:szCs w:val="21"/>
                <w:highlight w:val="none"/>
              </w:rPr>
            </w:pPr>
            <w:r>
              <w:rPr>
                <w:rFonts w:hint="eastAsia" w:hAnsi="宋体"/>
                <w:b/>
                <w:bCs/>
                <w:color w:val="auto"/>
                <w:kern w:val="2"/>
                <w:sz w:val="21"/>
                <w:szCs w:val="21"/>
                <w:highlight w:val="none"/>
              </w:rPr>
              <w:t>资格审查标准</w:t>
            </w:r>
          </w:p>
        </w:tc>
      </w:tr>
      <w:tr w14:paraId="6CCD0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5" w:hRule="atLeast"/>
        </w:trPr>
        <w:tc>
          <w:tcPr>
            <w:tcW w:w="758" w:type="dxa"/>
            <w:vAlign w:val="center"/>
          </w:tcPr>
          <w:p w14:paraId="11730E69">
            <w:pPr>
              <w:pStyle w:val="28"/>
              <w:spacing w:line="400" w:lineRule="exact"/>
              <w:jc w:val="center"/>
              <w:rPr>
                <w:rFonts w:hint="eastAsia" w:hAnsi="宋体"/>
                <w:color w:val="auto"/>
                <w:kern w:val="2"/>
                <w:sz w:val="21"/>
                <w:szCs w:val="21"/>
                <w:highlight w:val="none"/>
              </w:rPr>
            </w:pPr>
            <w:r>
              <w:rPr>
                <w:rFonts w:hint="eastAsia" w:hAnsi="宋体"/>
                <w:color w:val="auto"/>
                <w:kern w:val="2"/>
                <w:sz w:val="21"/>
                <w:szCs w:val="21"/>
                <w:highlight w:val="none"/>
              </w:rPr>
              <w:t>1</w:t>
            </w:r>
          </w:p>
        </w:tc>
        <w:tc>
          <w:tcPr>
            <w:tcW w:w="6148" w:type="dxa"/>
            <w:vAlign w:val="center"/>
          </w:tcPr>
          <w:p w14:paraId="3BA7EFF5">
            <w:pPr>
              <w:pStyle w:val="28"/>
              <w:spacing w:line="400" w:lineRule="exact"/>
              <w:rPr>
                <w:rFonts w:hint="eastAsia" w:hAnsi="宋体"/>
                <w:color w:val="auto"/>
                <w:kern w:val="2"/>
                <w:sz w:val="21"/>
                <w:szCs w:val="21"/>
                <w:highlight w:val="none"/>
              </w:rPr>
            </w:pPr>
            <w:r>
              <w:rPr>
                <w:rFonts w:hint="eastAsia" w:hAnsi="宋体"/>
                <w:color w:val="auto"/>
                <w:sz w:val="21"/>
                <w:szCs w:val="21"/>
                <w:highlight w:val="none"/>
              </w:rPr>
              <w:t>在中华人民共和国境内依法设立，且已在本医院开户的银行</w:t>
            </w:r>
          </w:p>
        </w:tc>
        <w:tc>
          <w:tcPr>
            <w:tcW w:w="2517" w:type="dxa"/>
            <w:vAlign w:val="center"/>
          </w:tcPr>
          <w:p w14:paraId="1F9CFFD0">
            <w:pPr>
              <w:pStyle w:val="28"/>
              <w:spacing w:line="400" w:lineRule="exact"/>
              <w:rPr>
                <w:rFonts w:hint="eastAsia" w:hAnsi="宋体"/>
                <w:color w:val="auto"/>
                <w:kern w:val="2"/>
                <w:sz w:val="21"/>
                <w:szCs w:val="21"/>
                <w:highlight w:val="none"/>
              </w:rPr>
            </w:pPr>
            <w:r>
              <w:rPr>
                <w:rFonts w:hint="eastAsia" w:hAnsi="宋体"/>
                <w:color w:val="auto"/>
                <w:kern w:val="2"/>
                <w:sz w:val="21"/>
                <w:szCs w:val="21"/>
                <w:highlight w:val="none"/>
              </w:rPr>
              <w:t>提供银行营业执照及已在本院开户的证明材料</w:t>
            </w:r>
          </w:p>
        </w:tc>
      </w:tr>
    </w:tbl>
    <w:p w14:paraId="2E560988">
      <w:pPr>
        <w:pStyle w:val="28"/>
        <w:spacing w:line="400" w:lineRule="exact"/>
        <w:rPr>
          <w:rFonts w:hint="eastAsia" w:hAnsi="宋体"/>
          <w:b/>
          <w:bCs/>
          <w:color w:val="auto"/>
          <w:kern w:val="2"/>
          <w:sz w:val="21"/>
          <w:szCs w:val="21"/>
          <w:highlight w:val="none"/>
        </w:rPr>
      </w:pPr>
      <w:r>
        <w:rPr>
          <w:rFonts w:hint="eastAsia" w:hAnsi="宋体"/>
          <w:b/>
          <w:bCs/>
          <w:color w:val="auto"/>
          <w:sz w:val="21"/>
          <w:szCs w:val="21"/>
          <w:highlight w:val="none"/>
        </w:rPr>
        <w:t>二、</w:t>
      </w:r>
      <w:r>
        <w:rPr>
          <w:rFonts w:hint="eastAsia" w:hAnsi="宋体"/>
          <w:b/>
          <w:bCs/>
          <w:color w:val="auto"/>
          <w:kern w:val="2"/>
          <w:sz w:val="21"/>
          <w:szCs w:val="21"/>
          <w:highlight w:val="none"/>
        </w:rPr>
        <w:t>符合性审查：</w:t>
      </w:r>
    </w:p>
    <w:p w14:paraId="482D2FE2">
      <w:pPr>
        <w:pStyle w:val="28"/>
        <w:spacing w:line="400" w:lineRule="exact"/>
        <w:ind w:firstLine="420" w:firstLineChars="200"/>
        <w:rPr>
          <w:rFonts w:hint="eastAsia" w:hAnsi="宋体"/>
          <w:color w:val="auto"/>
          <w:kern w:val="2"/>
          <w:sz w:val="21"/>
          <w:szCs w:val="21"/>
          <w:highlight w:val="none"/>
        </w:rPr>
      </w:pPr>
      <w:r>
        <w:rPr>
          <w:rFonts w:hint="eastAsia" w:hAnsi="宋体"/>
          <w:color w:val="auto"/>
          <w:kern w:val="2"/>
          <w:sz w:val="21"/>
          <w:szCs w:val="21"/>
          <w:highlight w:val="none"/>
        </w:rPr>
        <w:t>磋商小组按照下列指标对各银行进行符合性审查，未通过评审的为无效标，不再参与评审。</w:t>
      </w:r>
    </w:p>
    <w:tbl>
      <w:tblPr>
        <w:tblStyle w:val="23"/>
        <w:tblW w:w="5158" w:type="pct"/>
        <w:tblInd w:w="-1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442"/>
        <w:gridCol w:w="5446"/>
        <w:gridCol w:w="2481"/>
      </w:tblGrid>
      <w:tr w14:paraId="60188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trPr>
        <w:tc>
          <w:tcPr>
            <w:tcW w:w="1441" w:type="dxa"/>
            <w:vAlign w:val="center"/>
          </w:tcPr>
          <w:p w14:paraId="3348A4A3">
            <w:pPr>
              <w:pStyle w:val="28"/>
              <w:spacing w:line="400" w:lineRule="exact"/>
              <w:jc w:val="center"/>
              <w:rPr>
                <w:rFonts w:hint="eastAsia" w:hAnsi="宋体"/>
                <w:b/>
                <w:bCs/>
                <w:color w:val="auto"/>
                <w:kern w:val="2"/>
                <w:sz w:val="21"/>
                <w:szCs w:val="21"/>
                <w:highlight w:val="none"/>
              </w:rPr>
            </w:pPr>
            <w:r>
              <w:rPr>
                <w:rFonts w:hint="eastAsia" w:hAnsi="宋体"/>
                <w:b/>
                <w:bCs/>
                <w:color w:val="auto"/>
                <w:kern w:val="2"/>
                <w:sz w:val="21"/>
                <w:szCs w:val="21"/>
                <w:highlight w:val="none"/>
              </w:rPr>
              <w:t>符合性要求</w:t>
            </w:r>
          </w:p>
        </w:tc>
        <w:tc>
          <w:tcPr>
            <w:tcW w:w="5441" w:type="dxa"/>
            <w:vAlign w:val="center"/>
          </w:tcPr>
          <w:p w14:paraId="2726E954">
            <w:pPr>
              <w:pStyle w:val="28"/>
              <w:spacing w:line="400" w:lineRule="exact"/>
              <w:jc w:val="center"/>
              <w:rPr>
                <w:rFonts w:hint="eastAsia" w:hAnsi="宋体"/>
                <w:b/>
                <w:bCs/>
                <w:color w:val="auto"/>
                <w:kern w:val="2"/>
                <w:sz w:val="21"/>
                <w:szCs w:val="21"/>
                <w:highlight w:val="none"/>
              </w:rPr>
            </w:pPr>
            <w:r>
              <w:rPr>
                <w:rFonts w:hint="eastAsia" w:hAnsi="宋体"/>
                <w:b/>
                <w:bCs/>
                <w:color w:val="auto"/>
                <w:kern w:val="2"/>
                <w:sz w:val="21"/>
                <w:szCs w:val="21"/>
                <w:highlight w:val="none"/>
              </w:rPr>
              <w:t>符合性审查因素</w:t>
            </w:r>
          </w:p>
        </w:tc>
        <w:tc>
          <w:tcPr>
            <w:tcW w:w="2478" w:type="dxa"/>
            <w:vAlign w:val="center"/>
          </w:tcPr>
          <w:p w14:paraId="4322B17F">
            <w:pPr>
              <w:pStyle w:val="28"/>
              <w:spacing w:line="400" w:lineRule="exact"/>
              <w:jc w:val="center"/>
              <w:rPr>
                <w:rFonts w:hint="eastAsia" w:hAnsi="宋体"/>
                <w:b/>
                <w:bCs/>
                <w:color w:val="auto"/>
                <w:kern w:val="2"/>
                <w:sz w:val="21"/>
                <w:szCs w:val="21"/>
                <w:highlight w:val="none"/>
              </w:rPr>
            </w:pPr>
            <w:r>
              <w:rPr>
                <w:rFonts w:hint="eastAsia" w:hAnsi="宋体"/>
                <w:b/>
                <w:bCs/>
                <w:color w:val="auto"/>
                <w:kern w:val="2"/>
                <w:sz w:val="21"/>
                <w:szCs w:val="21"/>
                <w:highlight w:val="none"/>
              </w:rPr>
              <w:t>评审标准</w:t>
            </w:r>
          </w:p>
        </w:tc>
      </w:tr>
      <w:tr w14:paraId="7D325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trPr>
        <w:tc>
          <w:tcPr>
            <w:tcW w:w="1441" w:type="dxa"/>
            <w:vMerge w:val="restart"/>
            <w:vAlign w:val="center"/>
          </w:tcPr>
          <w:p w14:paraId="4D3CD5F8">
            <w:pPr>
              <w:pStyle w:val="28"/>
              <w:spacing w:line="400" w:lineRule="exact"/>
              <w:jc w:val="center"/>
              <w:rPr>
                <w:rFonts w:hint="eastAsia" w:hAnsi="宋体"/>
                <w:color w:val="auto"/>
                <w:kern w:val="2"/>
                <w:sz w:val="21"/>
                <w:szCs w:val="21"/>
                <w:highlight w:val="none"/>
              </w:rPr>
            </w:pPr>
            <w:r>
              <w:rPr>
                <w:rFonts w:hint="eastAsia" w:hAnsi="宋体"/>
                <w:color w:val="auto"/>
                <w:kern w:val="2"/>
                <w:sz w:val="21"/>
                <w:szCs w:val="21"/>
                <w:highlight w:val="none"/>
              </w:rPr>
              <w:t>商务要求</w:t>
            </w:r>
          </w:p>
        </w:tc>
        <w:tc>
          <w:tcPr>
            <w:tcW w:w="5441" w:type="dxa"/>
            <w:vAlign w:val="center"/>
          </w:tcPr>
          <w:p w14:paraId="0E070051">
            <w:pPr>
              <w:pStyle w:val="28"/>
              <w:spacing w:line="400" w:lineRule="exact"/>
              <w:rPr>
                <w:rFonts w:hint="eastAsia" w:hAnsi="宋体"/>
                <w:color w:val="auto"/>
                <w:kern w:val="2"/>
                <w:sz w:val="21"/>
                <w:szCs w:val="21"/>
                <w:highlight w:val="none"/>
              </w:rPr>
            </w:pPr>
            <w:r>
              <w:rPr>
                <w:rFonts w:hint="eastAsia" w:hAnsi="宋体"/>
                <w:color w:val="auto"/>
                <w:kern w:val="2"/>
                <w:sz w:val="21"/>
                <w:szCs w:val="21"/>
                <w:highlight w:val="none"/>
              </w:rPr>
              <w:t>响应函</w:t>
            </w:r>
          </w:p>
        </w:tc>
        <w:tc>
          <w:tcPr>
            <w:tcW w:w="2478" w:type="dxa"/>
            <w:vAlign w:val="center"/>
          </w:tcPr>
          <w:p w14:paraId="23783BF2">
            <w:pPr>
              <w:pStyle w:val="28"/>
              <w:spacing w:line="400" w:lineRule="exact"/>
              <w:rPr>
                <w:rFonts w:hint="eastAsia" w:hAnsi="宋体"/>
                <w:color w:val="auto"/>
                <w:kern w:val="2"/>
                <w:sz w:val="21"/>
                <w:szCs w:val="21"/>
                <w:highlight w:val="none"/>
              </w:rPr>
            </w:pPr>
            <w:r>
              <w:rPr>
                <w:rFonts w:hint="eastAsia" w:hAnsi="宋体"/>
                <w:color w:val="auto"/>
                <w:kern w:val="2"/>
                <w:sz w:val="21"/>
                <w:szCs w:val="21"/>
                <w:highlight w:val="none"/>
              </w:rPr>
              <w:t>内容符合磋商文件要求</w:t>
            </w:r>
          </w:p>
        </w:tc>
      </w:tr>
      <w:tr w14:paraId="37961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1441" w:type="dxa"/>
            <w:vMerge w:val="continue"/>
            <w:vAlign w:val="center"/>
          </w:tcPr>
          <w:p w14:paraId="3463A144">
            <w:pPr>
              <w:pStyle w:val="28"/>
              <w:spacing w:line="400" w:lineRule="exact"/>
              <w:jc w:val="center"/>
              <w:rPr>
                <w:rFonts w:hint="eastAsia" w:hAnsi="宋体"/>
                <w:color w:val="auto"/>
                <w:kern w:val="2"/>
                <w:sz w:val="21"/>
                <w:szCs w:val="21"/>
                <w:highlight w:val="none"/>
              </w:rPr>
            </w:pPr>
          </w:p>
        </w:tc>
        <w:tc>
          <w:tcPr>
            <w:tcW w:w="5441" w:type="dxa"/>
            <w:vAlign w:val="center"/>
          </w:tcPr>
          <w:p w14:paraId="3DD418CE">
            <w:pPr>
              <w:pStyle w:val="28"/>
              <w:spacing w:line="400" w:lineRule="exact"/>
              <w:rPr>
                <w:rFonts w:hint="eastAsia" w:hAnsi="宋体"/>
                <w:color w:val="auto"/>
                <w:kern w:val="2"/>
                <w:sz w:val="21"/>
                <w:szCs w:val="21"/>
                <w:highlight w:val="none"/>
              </w:rPr>
            </w:pPr>
            <w:r>
              <w:rPr>
                <w:rFonts w:hint="eastAsia" w:hAnsi="宋体"/>
                <w:color w:val="auto"/>
                <w:kern w:val="2"/>
                <w:sz w:val="21"/>
                <w:szCs w:val="21"/>
                <w:highlight w:val="none"/>
              </w:rPr>
              <w:t>法定代表人授权委托书及委托代理人的身份证</w:t>
            </w:r>
          </w:p>
        </w:tc>
        <w:tc>
          <w:tcPr>
            <w:tcW w:w="2478" w:type="dxa"/>
            <w:vAlign w:val="center"/>
          </w:tcPr>
          <w:p w14:paraId="4259E132">
            <w:pPr>
              <w:pStyle w:val="28"/>
              <w:spacing w:line="400" w:lineRule="exact"/>
              <w:rPr>
                <w:rFonts w:hint="eastAsia" w:hAnsi="宋体"/>
                <w:color w:val="auto"/>
                <w:kern w:val="2"/>
                <w:sz w:val="21"/>
                <w:szCs w:val="21"/>
                <w:highlight w:val="none"/>
              </w:rPr>
            </w:pPr>
            <w:r>
              <w:rPr>
                <w:rFonts w:hint="eastAsia" w:hAnsi="宋体"/>
                <w:color w:val="auto"/>
                <w:kern w:val="2"/>
                <w:sz w:val="21"/>
                <w:szCs w:val="21"/>
                <w:highlight w:val="none"/>
              </w:rPr>
              <w:t>内容符合磋商文件要求</w:t>
            </w:r>
          </w:p>
        </w:tc>
      </w:tr>
      <w:tr w14:paraId="351CB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9" w:hRule="atLeast"/>
        </w:trPr>
        <w:tc>
          <w:tcPr>
            <w:tcW w:w="1441" w:type="dxa"/>
            <w:vMerge w:val="continue"/>
            <w:vAlign w:val="center"/>
          </w:tcPr>
          <w:p w14:paraId="380C1480">
            <w:pPr>
              <w:pStyle w:val="28"/>
              <w:spacing w:line="400" w:lineRule="exact"/>
              <w:jc w:val="center"/>
              <w:rPr>
                <w:rFonts w:hint="eastAsia" w:hAnsi="宋体"/>
                <w:color w:val="auto"/>
                <w:kern w:val="2"/>
                <w:sz w:val="21"/>
                <w:szCs w:val="21"/>
                <w:highlight w:val="none"/>
              </w:rPr>
            </w:pPr>
          </w:p>
        </w:tc>
        <w:tc>
          <w:tcPr>
            <w:tcW w:w="5441" w:type="dxa"/>
            <w:vAlign w:val="center"/>
          </w:tcPr>
          <w:p w14:paraId="3239C87E">
            <w:pPr>
              <w:pStyle w:val="28"/>
              <w:spacing w:line="400" w:lineRule="exact"/>
              <w:rPr>
                <w:rFonts w:hint="eastAsia" w:hAnsi="宋体"/>
                <w:color w:val="auto"/>
                <w:kern w:val="2"/>
                <w:sz w:val="21"/>
                <w:szCs w:val="21"/>
                <w:highlight w:val="none"/>
              </w:rPr>
            </w:pPr>
            <w:r>
              <w:rPr>
                <w:rFonts w:hint="eastAsia" w:hAnsi="宋体"/>
                <w:color w:val="auto"/>
                <w:kern w:val="2"/>
                <w:sz w:val="21"/>
                <w:szCs w:val="21"/>
                <w:highlight w:val="none"/>
              </w:rPr>
              <w:t>响应文件签署、盖章齐全完整</w:t>
            </w:r>
          </w:p>
        </w:tc>
        <w:tc>
          <w:tcPr>
            <w:tcW w:w="2478" w:type="dxa"/>
            <w:vAlign w:val="center"/>
          </w:tcPr>
          <w:p w14:paraId="57C7B1FE">
            <w:pPr>
              <w:pStyle w:val="28"/>
              <w:spacing w:line="400" w:lineRule="exact"/>
              <w:rPr>
                <w:rFonts w:hint="eastAsia" w:hAnsi="宋体"/>
                <w:color w:val="auto"/>
                <w:kern w:val="2"/>
                <w:sz w:val="21"/>
                <w:szCs w:val="21"/>
                <w:highlight w:val="none"/>
              </w:rPr>
            </w:pPr>
            <w:r>
              <w:rPr>
                <w:rFonts w:hint="eastAsia" w:hAnsi="宋体"/>
                <w:color w:val="auto"/>
                <w:kern w:val="2"/>
                <w:sz w:val="21"/>
                <w:szCs w:val="21"/>
                <w:highlight w:val="none"/>
              </w:rPr>
              <w:t>符合磋商文件要求</w:t>
            </w:r>
          </w:p>
        </w:tc>
      </w:tr>
    </w:tbl>
    <w:p w14:paraId="660D7ADB">
      <w:pPr>
        <w:tabs>
          <w:tab w:val="left" w:pos="1260"/>
        </w:tabs>
        <w:spacing w:line="380" w:lineRule="exact"/>
        <w:jc w:val="left"/>
        <w:rPr>
          <w:rFonts w:hint="eastAsia" w:ascii="宋体" w:hAnsi="宋体" w:cs="宋体"/>
          <w:color w:val="auto"/>
          <w:szCs w:val="21"/>
          <w:highlight w:val="none"/>
        </w:rPr>
      </w:pPr>
      <w:r>
        <w:rPr>
          <w:rFonts w:hint="eastAsia" w:ascii="宋体" w:hAnsi="宋体" w:cs="宋体"/>
          <w:b/>
          <w:bCs/>
          <w:color w:val="auto"/>
          <w:szCs w:val="21"/>
          <w:highlight w:val="none"/>
        </w:rPr>
        <w:t>三、评审方法说明：</w:t>
      </w:r>
    </w:p>
    <w:p w14:paraId="5B294BC7">
      <w:pPr>
        <w:pStyle w:val="6"/>
        <w:spacing w:line="380" w:lineRule="exact"/>
        <w:ind w:firstLineChars="200"/>
        <w:rPr>
          <w:rFonts w:hint="eastAsia" w:ascii="宋体" w:hAnsi="宋体" w:cs="宋体"/>
          <w:bCs/>
          <w:color w:val="auto"/>
          <w:szCs w:val="21"/>
          <w:highlight w:val="none"/>
        </w:rPr>
      </w:pPr>
      <w:r>
        <w:rPr>
          <w:rFonts w:hint="eastAsia" w:ascii="宋体" w:hAnsi="宋体" w:cs="宋体"/>
          <w:bCs/>
          <w:color w:val="auto"/>
          <w:szCs w:val="21"/>
          <w:highlight w:val="none"/>
        </w:rPr>
        <w:t>采用综合评分法，对满足磋商文件全部实质性要求的响应文件按评审因素的量化指标评审总分对银行进行排序。</w:t>
      </w:r>
    </w:p>
    <w:p w14:paraId="1F98DE29">
      <w:pPr>
        <w:spacing w:line="380" w:lineRule="exact"/>
        <w:ind w:firstLine="420" w:firstLineChars="200"/>
        <w:jc w:val="left"/>
        <w:rPr>
          <w:rFonts w:hint="eastAsia" w:ascii="宋体" w:hAnsi="宋体" w:cs="宋体"/>
          <w:bCs/>
          <w:color w:val="auto"/>
          <w:szCs w:val="21"/>
          <w:highlight w:val="none"/>
        </w:rPr>
      </w:pPr>
      <w:r>
        <w:rPr>
          <w:rFonts w:hint="eastAsia" w:ascii="宋体" w:hAnsi="宋体" w:cs="宋体"/>
          <w:bCs/>
          <w:color w:val="auto"/>
          <w:szCs w:val="21"/>
          <w:highlight w:val="none"/>
        </w:rPr>
        <w:t>经磋商确定最终采购需求和提交最后报价的银行后，磋商小组成员采用综合评分法独立对提交最后报价的银行的响应文件和最后报价进行综合评分。</w:t>
      </w:r>
    </w:p>
    <w:p w14:paraId="5767512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磋商小组按照评审总分由高到低顺序推荐3名成交候选银行，并编写评审报告。评审得分相同的，按照最后报价得分由低到高的顺序推荐；评审得分、报价得分均相同，以“服务方案”项得分高者优先；最终得分、报价得分、“服务方案”得分均相同时，以抽签方式确定。</w:t>
      </w:r>
    </w:p>
    <w:tbl>
      <w:tblPr>
        <w:tblStyle w:val="24"/>
        <w:tblW w:w="9120" w:type="dxa"/>
        <w:tblInd w:w="-7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705"/>
        <w:gridCol w:w="1095"/>
        <w:gridCol w:w="6630"/>
        <w:gridCol w:w="690"/>
      </w:tblGrid>
      <w:tr w14:paraId="27D466C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11" w:hRule="atLeast"/>
        </w:trPr>
        <w:tc>
          <w:tcPr>
            <w:tcW w:w="705" w:type="dxa"/>
            <w:vAlign w:val="center"/>
          </w:tcPr>
          <w:p w14:paraId="3BB8197F">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Times New Roman" w:cs="宋体"/>
                <w:b/>
                <w:color w:val="auto"/>
                <w:szCs w:val="21"/>
                <w:highlight w:val="none"/>
              </w:rPr>
            </w:pPr>
            <w:r>
              <w:rPr>
                <w:rFonts w:hint="eastAsia" w:ascii="宋体" w:hAnsi="宋体" w:eastAsia="Times New Roman" w:cs="宋体"/>
                <w:b/>
                <w:color w:val="auto"/>
                <w:szCs w:val="21"/>
                <w:highlight w:val="none"/>
              </w:rPr>
              <w:t>序号</w:t>
            </w:r>
          </w:p>
        </w:tc>
        <w:tc>
          <w:tcPr>
            <w:tcW w:w="1095" w:type="dxa"/>
            <w:vAlign w:val="center"/>
          </w:tcPr>
          <w:p w14:paraId="51B29D4D">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Times New Roman" w:cs="宋体"/>
                <w:b/>
                <w:color w:val="auto"/>
                <w:szCs w:val="21"/>
                <w:highlight w:val="none"/>
              </w:rPr>
            </w:pPr>
            <w:r>
              <w:rPr>
                <w:rFonts w:hint="eastAsia" w:ascii="宋体" w:hAnsi="宋体" w:eastAsia="Times New Roman" w:cs="宋体"/>
                <w:b/>
                <w:color w:val="auto"/>
                <w:szCs w:val="21"/>
                <w:highlight w:val="none"/>
              </w:rPr>
              <w:t>评分项目</w:t>
            </w:r>
          </w:p>
        </w:tc>
        <w:tc>
          <w:tcPr>
            <w:tcW w:w="6630" w:type="dxa"/>
            <w:vAlign w:val="center"/>
          </w:tcPr>
          <w:p w14:paraId="7943661F">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Times New Roman" w:cs="宋体"/>
                <w:b/>
                <w:color w:val="auto"/>
                <w:szCs w:val="21"/>
                <w:highlight w:val="none"/>
              </w:rPr>
            </w:pPr>
            <w:r>
              <w:rPr>
                <w:rFonts w:hint="eastAsia" w:ascii="宋体" w:hAnsi="宋体" w:eastAsia="Times New Roman" w:cs="宋体"/>
                <w:b/>
                <w:color w:val="auto"/>
                <w:szCs w:val="21"/>
                <w:highlight w:val="none"/>
              </w:rPr>
              <w:t>评分标准</w:t>
            </w:r>
          </w:p>
        </w:tc>
        <w:tc>
          <w:tcPr>
            <w:tcW w:w="690" w:type="dxa"/>
            <w:vAlign w:val="center"/>
          </w:tcPr>
          <w:p w14:paraId="065900A8">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Times New Roman" w:cs="宋体"/>
                <w:b/>
                <w:color w:val="auto"/>
                <w:szCs w:val="21"/>
                <w:highlight w:val="none"/>
              </w:rPr>
            </w:pPr>
            <w:r>
              <w:rPr>
                <w:rFonts w:hint="eastAsia" w:ascii="宋体" w:hAnsi="宋体" w:eastAsia="Times New Roman" w:cs="宋体"/>
                <w:b/>
                <w:color w:val="auto"/>
                <w:szCs w:val="21"/>
                <w:highlight w:val="none"/>
              </w:rPr>
              <w:t>分值</w:t>
            </w:r>
          </w:p>
        </w:tc>
      </w:tr>
      <w:tr w14:paraId="20A2392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4" w:hRule="atLeast"/>
        </w:trPr>
        <w:tc>
          <w:tcPr>
            <w:tcW w:w="705" w:type="dxa"/>
            <w:vAlign w:val="center"/>
          </w:tcPr>
          <w:p w14:paraId="498B55DC">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Times New Roman" w:cs="宋体"/>
                <w:color w:val="auto"/>
                <w:szCs w:val="21"/>
                <w:highlight w:val="none"/>
              </w:rPr>
            </w:pPr>
            <w:r>
              <w:rPr>
                <w:rFonts w:hint="eastAsia" w:ascii="宋体" w:hAnsi="宋体" w:eastAsia="Times New Roman" w:cs="宋体"/>
                <w:bCs/>
                <w:color w:val="auto"/>
                <w:szCs w:val="21"/>
                <w:highlight w:val="none"/>
              </w:rPr>
              <w:t>一</w:t>
            </w:r>
          </w:p>
        </w:tc>
        <w:tc>
          <w:tcPr>
            <w:tcW w:w="8415" w:type="dxa"/>
            <w:gridSpan w:val="3"/>
            <w:vAlign w:val="center"/>
          </w:tcPr>
          <w:p w14:paraId="335351BB">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left"/>
              <w:textAlignment w:val="auto"/>
              <w:rPr>
                <w:rFonts w:hint="eastAsia" w:ascii="宋体" w:hAnsi="宋体" w:eastAsia="Times New Roman" w:cs="宋体"/>
                <w:b/>
                <w:color w:val="auto"/>
                <w:szCs w:val="21"/>
                <w:highlight w:val="none"/>
              </w:rPr>
            </w:pPr>
            <w:r>
              <w:rPr>
                <w:rFonts w:hint="eastAsia" w:ascii="宋体" w:hAnsi="宋体" w:eastAsia="Times New Roman" w:cs="宋体"/>
                <w:b/>
                <w:color w:val="auto"/>
                <w:szCs w:val="21"/>
                <w:highlight w:val="none"/>
              </w:rPr>
              <w:t>利率水平（28分）</w:t>
            </w:r>
          </w:p>
        </w:tc>
      </w:tr>
      <w:tr w14:paraId="55FBDB9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5" w:hRule="atLeast"/>
        </w:trPr>
        <w:tc>
          <w:tcPr>
            <w:tcW w:w="705" w:type="dxa"/>
            <w:vAlign w:val="center"/>
          </w:tcPr>
          <w:p w14:paraId="72B3DB8E">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Times New Roman" w:cs="宋体"/>
                <w:color w:val="auto"/>
                <w:szCs w:val="21"/>
                <w:highlight w:val="none"/>
              </w:rPr>
            </w:pPr>
            <w:r>
              <w:rPr>
                <w:rFonts w:hint="eastAsia" w:ascii="宋体" w:hAnsi="宋体" w:eastAsia="Times New Roman" w:cs="宋体"/>
                <w:color w:val="auto"/>
                <w:szCs w:val="21"/>
                <w:highlight w:val="none"/>
              </w:rPr>
              <w:t>1</w:t>
            </w:r>
          </w:p>
        </w:tc>
        <w:tc>
          <w:tcPr>
            <w:tcW w:w="1095" w:type="dxa"/>
            <w:vAlign w:val="center"/>
          </w:tcPr>
          <w:p w14:paraId="6B66942F">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Times New Roman" w:cs="宋体"/>
                <w:color w:val="auto"/>
                <w:szCs w:val="21"/>
                <w:highlight w:val="none"/>
              </w:rPr>
            </w:pPr>
            <w:r>
              <w:rPr>
                <w:rFonts w:hint="eastAsia" w:ascii="宋体" w:hAnsi="宋体" w:eastAsia="Times New Roman" w:cs="宋体"/>
                <w:color w:val="auto"/>
                <w:szCs w:val="21"/>
                <w:highlight w:val="none"/>
              </w:rPr>
              <w:t>一年期贷款年利率</w:t>
            </w:r>
          </w:p>
        </w:tc>
        <w:tc>
          <w:tcPr>
            <w:tcW w:w="6630" w:type="dxa"/>
            <w:vAlign w:val="center"/>
          </w:tcPr>
          <w:p w14:paraId="637773AB">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Times New Roman" w:cs="宋体"/>
                <w:color w:val="auto"/>
                <w:szCs w:val="21"/>
                <w:highlight w:val="none"/>
              </w:rPr>
            </w:pPr>
            <w:r>
              <w:rPr>
                <w:rFonts w:hint="eastAsia" w:ascii="宋体" w:hAnsi="宋体" w:eastAsia="Times New Roman" w:cs="宋体"/>
                <w:color w:val="auto"/>
                <w:szCs w:val="21"/>
                <w:highlight w:val="none"/>
              </w:rPr>
              <w:t>依据各银行一年期贷款年利率：由低到高排名第一的得28分，排名第二的得25分，排名第三的得22</w:t>
            </w:r>
            <w:r>
              <w:rPr>
                <w:rFonts w:hint="eastAsia" w:ascii="宋体" w:hAnsi="宋体" w:cs="宋体"/>
                <w:color w:val="auto"/>
                <w:szCs w:val="21"/>
                <w:highlight w:val="none"/>
                <w:lang w:val="en-US" w:eastAsia="zh-CN"/>
              </w:rPr>
              <w:t>分</w:t>
            </w:r>
            <w:r>
              <w:rPr>
                <w:rFonts w:hint="eastAsia" w:ascii="宋体" w:hAnsi="宋体" w:eastAsia="Times New Roman" w:cs="宋体"/>
                <w:color w:val="auto"/>
                <w:szCs w:val="21"/>
                <w:highlight w:val="none"/>
              </w:rPr>
              <w:t>，依次递减3分/档，利率相同的并列排名。</w:t>
            </w:r>
          </w:p>
        </w:tc>
        <w:tc>
          <w:tcPr>
            <w:tcW w:w="690" w:type="dxa"/>
            <w:vAlign w:val="center"/>
          </w:tcPr>
          <w:p w14:paraId="75BA8076">
            <w:pPr>
              <w:pStyle w:val="97"/>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28</w:t>
            </w:r>
          </w:p>
        </w:tc>
      </w:tr>
      <w:tr w14:paraId="09A3B14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0" w:hRule="atLeast"/>
        </w:trPr>
        <w:tc>
          <w:tcPr>
            <w:tcW w:w="705" w:type="dxa"/>
            <w:vAlign w:val="center"/>
          </w:tcPr>
          <w:p w14:paraId="03A30569">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Times New Roman" w:cs="宋体"/>
                <w:color w:val="auto"/>
                <w:szCs w:val="21"/>
                <w:highlight w:val="none"/>
              </w:rPr>
            </w:pPr>
            <w:r>
              <w:rPr>
                <w:rFonts w:hint="eastAsia" w:ascii="宋体" w:hAnsi="宋体" w:eastAsia="Times New Roman" w:cs="宋体"/>
                <w:color w:val="auto"/>
                <w:szCs w:val="21"/>
                <w:highlight w:val="none"/>
              </w:rPr>
              <w:t>二</w:t>
            </w:r>
          </w:p>
        </w:tc>
        <w:tc>
          <w:tcPr>
            <w:tcW w:w="8415" w:type="dxa"/>
            <w:gridSpan w:val="3"/>
            <w:vAlign w:val="center"/>
          </w:tcPr>
          <w:p w14:paraId="4E1F0C68">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left"/>
              <w:textAlignment w:val="auto"/>
              <w:rPr>
                <w:rFonts w:hint="eastAsia" w:ascii="宋体" w:hAnsi="宋体" w:eastAsia="Times New Roman" w:cs="宋体"/>
                <w:color w:val="auto"/>
                <w:szCs w:val="21"/>
                <w:highlight w:val="none"/>
              </w:rPr>
            </w:pPr>
            <w:r>
              <w:rPr>
                <w:rFonts w:hint="eastAsia" w:ascii="宋体" w:hAnsi="宋体" w:eastAsia="Times New Roman" w:cs="宋体"/>
                <w:b/>
                <w:bCs/>
                <w:color w:val="auto"/>
                <w:szCs w:val="21"/>
                <w:highlight w:val="none"/>
              </w:rPr>
              <w:t>金融服务实力（11分）</w:t>
            </w:r>
          </w:p>
        </w:tc>
      </w:tr>
      <w:tr w14:paraId="7802AD9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35" w:hRule="atLeast"/>
        </w:trPr>
        <w:tc>
          <w:tcPr>
            <w:tcW w:w="705" w:type="dxa"/>
            <w:vAlign w:val="center"/>
          </w:tcPr>
          <w:p w14:paraId="1DEDB560">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Times New Roman" w:cs="宋体"/>
                <w:color w:val="auto"/>
                <w:szCs w:val="21"/>
                <w:highlight w:val="none"/>
              </w:rPr>
            </w:pPr>
            <w:r>
              <w:rPr>
                <w:rFonts w:hint="eastAsia" w:ascii="宋体" w:hAnsi="宋体" w:eastAsia="Times New Roman" w:cs="宋体"/>
                <w:color w:val="auto"/>
                <w:szCs w:val="21"/>
                <w:highlight w:val="none"/>
              </w:rPr>
              <w:t>2</w:t>
            </w:r>
          </w:p>
        </w:tc>
        <w:tc>
          <w:tcPr>
            <w:tcW w:w="1095" w:type="dxa"/>
            <w:vAlign w:val="center"/>
          </w:tcPr>
          <w:p w14:paraId="608A8526">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Times New Roman" w:cs="宋体"/>
                <w:color w:val="auto"/>
                <w:szCs w:val="21"/>
                <w:highlight w:val="none"/>
              </w:rPr>
            </w:pPr>
            <w:r>
              <w:rPr>
                <w:rFonts w:hint="eastAsia" w:ascii="宋体" w:hAnsi="宋体" w:eastAsia="Times New Roman" w:cs="宋体"/>
                <w:color w:val="auto"/>
                <w:szCs w:val="21"/>
                <w:highlight w:val="none"/>
              </w:rPr>
              <w:t>贷款业绩</w:t>
            </w:r>
          </w:p>
        </w:tc>
        <w:tc>
          <w:tcPr>
            <w:tcW w:w="6630" w:type="dxa"/>
            <w:vAlign w:val="center"/>
          </w:tcPr>
          <w:p w14:paraId="5A2506EB">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Times New Roman" w:cs="宋体"/>
                <w:color w:val="auto"/>
                <w:szCs w:val="21"/>
                <w:highlight w:val="none"/>
              </w:rPr>
            </w:pPr>
            <w:r>
              <w:rPr>
                <w:rFonts w:hint="eastAsia" w:ascii="宋体" w:hAnsi="宋体" w:eastAsia="Times New Roman" w:cs="宋体"/>
                <w:color w:val="auto"/>
                <w:szCs w:val="21"/>
                <w:highlight w:val="none"/>
              </w:rPr>
              <w:t>自</w:t>
            </w:r>
            <w:r>
              <w:rPr>
                <w:rFonts w:hint="eastAsia" w:ascii="宋体" w:hAnsi="宋体" w:eastAsia="宋体" w:cs="宋体"/>
                <w:color w:val="auto"/>
                <w:szCs w:val="21"/>
                <w:highlight w:val="none"/>
                <w:lang w:val="en-US" w:eastAsia="zh-CN"/>
              </w:rPr>
              <w:t>2023</w:t>
            </w:r>
            <w:r>
              <w:rPr>
                <w:rFonts w:hint="eastAsia" w:ascii="宋体" w:hAnsi="宋体" w:eastAsia="Times New Roman" w:cs="宋体"/>
                <w:color w:val="auto"/>
                <w:szCs w:val="21"/>
                <w:highlight w:val="none"/>
              </w:rPr>
              <w:t>年</w:t>
            </w:r>
            <w:r>
              <w:rPr>
                <w:rFonts w:hint="eastAsia" w:ascii="宋体" w:hAnsi="宋体" w:eastAsia="宋体" w:cs="宋体"/>
                <w:color w:val="auto"/>
                <w:szCs w:val="21"/>
                <w:highlight w:val="none"/>
                <w:lang w:val="en-US" w:eastAsia="zh-CN"/>
              </w:rPr>
              <w:t>1月1日</w:t>
            </w:r>
            <w:r>
              <w:rPr>
                <w:rFonts w:hint="eastAsia" w:ascii="宋体" w:hAnsi="宋体" w:eastAsia="Times New Roman" w:cs="宋体"/>
                <w:color w:val="auto"/>
                <w:szCs w:val="21"/>
                <w:highlight w:val="none"/>
              </w:rPr>
              <w:t>以来，银行承接过流动资金贷款业绩的，有一个得1分，最多得3分。</w:t>
            </w:r>
            <w:r>
              <w:rPr>
                <w:rFonts w:hint="eastAsia" w:ascii="宋体" w:hAnsi="宋体" w:eastAsia="Times New Roman" w:cs="宋体"/>
                <w:b/>
                <w:bCs/>
                <w:color w:val="auto"/>
                <w:szCs w:val="21"/>
                <w:highlight w:val="none"/>
              </w:rPr>
              <w:t>（提供贷款业绩合同复印件并加盖银行公章）</w:t>
            </w:r>
          </w:p>
        </w:tc>
        <w:tc>
          <w:tcPr>
            <w:tcW w:w="690" w:type="dxa"/>
            <w:vAlign w:val="center"/>
          </w:tcPr>
          <w:p w14:paraId="55F44FD0">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Times New Roman" w:cs="宋体"/>
                <w:color w:val="auto"/>
                <w:szCs w:val="21"/>
                <w:highlight w:val="none"/>
              </w:rPr>
            </w:pPr>
            <w:r>
              <w:rPr>
                <w:rFonts w:hint="eastAsia" w:ascii="宋体" w:hAnsi="宋体" w:eastAsia="Times New Roman" w:cs="宋体"/>
                <w:color w:val="auto"/>
                <w:szCs w:val="21"/>
                <w:highlight w:val="none"/>
              </w:rPr>
              <w:t>3</w:t>
            </w:r>
          </w:p>
        </w:tc>
      </w:tr>
      <w:tr w14:paraId="5D921F9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35" w:hRule="atLeast"/>
        </w:trPr>
        <w:tc>
          <w:tcPr>
            <w:tcW w:w="705" w:type="dxa"/>
            <w:vAlign w:val="center"/>
          </w:tcPr>
          <w:p w14:paraId="21AD2E96">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3</w:t>
            </w:r>
          </w:p>
        </w:tc>
        <w:tc>
          <w:tcPr>
            <w:tcW w:w="1095" w:type="dxa"/>
            <w:vAlign w:val="center"/>
          </w:tcPr>
          <w:p w14:paraId="07F3A1FB">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Times New Roman" w:cs="宋体"/>
                <w:color w:val="auto"/>
                <w:szCs w:val="21"/>
                <w:highlight w:val="none"/>
              </w:rPr>
            </w:pPr>
            <w:r>
              <w:rPr>
                <w:rFonts w:hint="eastAsia" w:ascii="宋体" w:hAnsi="宋体" w:eastAsia="Times New Roman" w:cs="宋体"/>
                <w:color w:val="auto"/>
                <w:szCs w:val="21"/>
                <w:highlight w:val="none"/>
              </w:rPr>
              <w:t>信用评级</w:t>
            </w:r>
          </w:p>
        </w:tc>
        <w:tc>
          <w:tcPr>
            <w:tcW w:w="6630" w:type="dxa"/>
            <w:vAlign w:val="center"/>
          </w:tcPr>
          <w:p w14:paraId="128D2F4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Times New Roman" w:cs="宋体"/>
                <w:color w:val="auto"/>
                <w:szCs w:val="21"/>
                <w:highlight w:val="none"/>
              </w:rPr>
            </w:pPr>
            <w:r>
              <w:rPr>
                <w:rFonts w:hint="eastAsia" w:ascii="宋体" w:hAnsi="宋体" w:eastAsia="Times New Roman" w:cs="宋体"/>
                <w:color w:val="auto"/>
                <w:szCs w:val="21"/>
                <w:highlight w:val="none"/>
              </w:rPr>
              <w:t>根据各银行信用评级：AAA级及以上的得满分2分，依次递减，分差1分，扣减至0分为止；同一评级档次的银行，实行并列同等得分。</w:t>
            </w:r>
            <w:r>
              <w:rPr>
                <w:rFonts w:hint="eastAsia" w:ascii="宋体" w:hAnsi="宋体" w:eastAsia="Times New Roman" w:cs="宋体"/>
                <w:b/>
                <w:bCs/>
                <w:color w:val="auto"/>
                <w:szCs w:val="21"/>
                <w:highlight w:val="none"/>
              </w:rPr>
              <w:t>（提供相关证明材料复印件并加盖银行公章）</w:t>
            </w:r>
          </w:p>
        </w:tc>
        <w:tc>
          <w:tcPr>
            <w:tcW w:w="690" w:type="dxa"/>
            <w:vAlign w:val="center"/>
          </w:tcPr>
          <w:p w14:paraId="2144C2B1">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Times New Roman" w:cs="宋体"/>
                <w:color w:val="auto"/>
                <w:szCs w:val="21"/>
                <w:highlight w:val="none"/>
              </w:rPr>
            </w:pPr>
            <w:r>
              <w:rPr>
                <w:rFonts w:hint="eastAsia" w:ascii="宋体" w:hAnsi="宋体" w:eastAsia="Times New Roman" w:cs="宋体"/>
                <w:color w:val="auto"/>
                <w:szCs w:val="21"/>
                <w:highlight w:val="none"/>
              </w:rPr>
              <w:t>2</w:t>
            </w:r>
          </w:p>
        </w:tc>
      </w:tr>
      <w:tr w14:paraId="7CA21E2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35" w:hRule="atLeast"/>
        </w:trPr>
        <w:tc>
          <w:tcPr>
            <w:tcW w:w="705" w:type="dxa"/>
            <w:vAlign w:val="center"/>
          </w:tcPr>
          <w:p w14:paraId="7C5A6D2B">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4</w:t>
            </w:r>
          </w:p>
        </w:tc>
        <w:tc>
          <w:tcPr>
            <w:tcW w:w="1095" w:type="dxa"/>
            <w:vAlign w:val="center"/>
          </w:tcPr>
          <w:p w14:paraId="1605C696">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Times New Roman" w:cs="宋体"/>
                <w:color w:val="auto"/>
                <w:szCs w:val="21"/>
                <w:highlight w:val="none"/>
              </w:rPr>
            </w:pPr>
            <w:r>
              <w:rPr>
                <w:rFonts w:hint="eastAsia" w:ascii="宋体" w:hAnsi="宋体" w:eastAsia="Times New Roman" w:cs="宋体"/>
                <w:color w:val="auto"/>
                <w:szCs w:val="21"/>
                <w:highlight w:val="none"/>
              </w:rPr>
              <w:t>授信额度评分</w:t>
            </w:r>
          </w:p>
        </w:tc>
        <w:tc>
          <w:tcPr>
            <w:tcW w:w="6630" w:type="dxa"/>
            <w:vAlign w:val="center"/>
          </w:tcPr>
          <w:p w14:paraId="15E1AF42">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Times New Roman" w:cs="宋体"/>
                <w:color w:val="auto"/>
                <w:szCs w:val="21"/>
                <w:highlight w:val="none"/>
              </w:rPr>
            </w:pPr>
            <w:r>
              <w:rPr>
                <w:rFonts w:hint="eastAsia" w:ascii="宋体" w:hAnsi="宋体" w:eastAsia="Times New Roman" w:cs="宋体"/>
                <w:color w:val="auto"/>
                <w:szCs w:val="21"/>
                <w:highlight w:val="none"/>
              </w:rPr>
              <w:t>根据各银行授信额度：2亿元及以上的得满分2分，其次得1.5分，依次递减，分差0.5分，分数扣减至0分为止。</w:t>
            </w:r>
            <w:r>
              <w:rPr>
                <w:rFonts w:hint="eastAsia" w:ascii="宋体" w:hAnsi="宋体" w:eastAsia="Times New Roman" w:cs="宋体"/>
                <w:b/>
                <w:color w:val="auto"/>
                <w:szCs w:val="21"/>
                <w:highlight w:val="none"/>
              </w:rPr>
              <w:t>（提供上级银行授信额度审批书并加盖银行公章）</w:t>
            </w:r>
          </w:p>
        </w:tc>
        <w:tc>
          <w:tcPr>
            <w:tcW w:w="690" w:type="dxa"/>
            <w:vAlign w:val="center"/>
          </w:tcPr>
          <w:p w14:paraId="4548AA2E">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Times New Roman" w:cs="宋体"/>
                <w:color w:val="auto"/>
                <w:szCs w:val="21"/>
                <w:highlight w:val="none"/>
              </w:rPr>
            </w:pPr>
            <w:r>
              <w:rPr>
                <w:rFonts w:hint="eastAsia" w:ascii="宋体" w:hAnsi="宋体" w:eastAsia="Times New Roman" w:cs="宋体"/>
                <w:color w:val="auto"/>
                <w:szCs w:val="21"/>
                <w:highlight w:val="none"/>
              </w:rPr>
              <w:t>2</w:t>
            </w:r>
          </w:p>
        </w:tc>
      </w:tr>
      <w:tr w14:paraId="65C321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35" w:hRule="atLeast"/>
        </w:trPr>
        <w:tc>
          <w:tcPr>
            <w:tcW w:w="705" w:type="dxa"/>
            <w:vAlign w:val="center"/>
          </w:tcPr>
          <w:p w14:paraId="01FFC770">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5</w:t>
            </w:r>
          </w:p>
        </w:tc>
        <w:tc>
          <w:tcPr>
            <w:tcW w:w="1095" w:type="dxa"/>
            <w:vAlign w:val="center"/>
          </w:tcPr>
          <w:p w14:paraId="589969AC">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Times New Roman" w:cs="宋体"/>
                <w:color w:val="auto"/>
                <w:szCs w:val="21"/>
                <w:highlight w:val="none"/>
              </w:rPr>
            </w:pPr>
            <w:r>
              <w:rPr>
                <w:rFonts w:hint="eastAsia" w:ascii="宋体" w:hAnsi="宋体" w:eastAsia="Times New Roman" w:cs="宋体"/>
                <w:color w:val="auto"/>
                <w:szCs w:val="21"/>
                <w:highlight w:val="none"/>
              </w:rPr>
              <w:t>对公转账手续费</w:t>
            </w:r>
          </w:p>
        </w:tc>
        <w:tc>
          <w:tcPr>
            <w:tcW w:w="6630" w:type="dxa"/>
            <w:vAlign w:val="center"/>
          </w:tcPr>
          <w:p w14:paraId="4976B8C7">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Times New Roman" w:cs="宋体"/>
                <w:color w:val="auto"/>
                <w:szCs w:val="21"/>
                <w:highlight w:val="none"/>
              </w:rPr>
            </w:pPr>
            <w:r>
              <w:rPr>
                <w:rFonts w:hint="eastAsia" w:ascii="宋体" w:hAnsi="宋体" w:eastAsia="Times New Roman" w:cs="宋体"/>
                <w:color w:val="auto"/>
                <w:szCs w:val="21"/>
                <w:highlight w:val="none"/>
              </w:rPr>
              <w:t>手续费率最低的银行得满分2分，其次得1.5分，依次递减，分差0.5分，扣减至0分为止。</w:t>
            </w:r>
            <w:r>
              <w:rPr>
                <w:rFonts w:hint="eastAsia" w:ascii="宋体" w:hAnsi="宋体" w:eastAsia="Times New Roman" w:cs="宋体"/>
                <w:b/>
                <w:bCs/>
                <w:color w:val="auto"/>
                <w:szCs w:val="21"/>
                <w:highlight w:val="none"/>
              </w:rPr>
              <w:t>（提供对公转账手续费说明并加盖银行公章）</w:t>
            </w:r>
          </w:p>
        </w:tc>
        <w:tc>
          <w:tcPr>
            <w:tcW w:w="690" w:type="dxa"/>
            <w:vAlign w:val="center"/>
          </w:tcPr>
          <w:p w14:paraId="1D3E19D9">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Times New Roman" w:cs="宋体"/>
                <w:color w:val="auto"/>
                <w:szCs w:val="21"/>
                <w:highlight w:val="none"/>
              </w:rPr>
            </w:pPr>
            <w:r>
              <w:rPr>
                <w:rFonts w:hint="eastAsia" w:ascii="宋体" w:hAnsi="宋体" w:eastAsia="Times New Roman" w:cs="宋体"/>
                <w:color w:val="auto"/>
                <w:szCs w:val="21"/>
                <w:highlight w:val="none"/>
              </w:rPr>
              <w:t>2</w:t>
            </w:r>
          </w:p>
        </w:tc>
      </w:tr>
      <w:tr w14:paraId="31DE202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35" w:hRule="atLeast"/>
        </w:trPr>
        <w:tc>
          <w:tcPr>
            <w:tcW w:w="705" w:type="dxa"/>
            <w:vAlign w:val="center"/>
          </w:tcPr>
          <w:p w14:paraId="27D700E1">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6</w:t>
            </w:r>
          </w:p>
        </w:tc>
        <w:tc>
          <w:tcPr>
            <w:tcW w:w="1095" w:type="dxa"/>
            <w:vAlign w:val="center"/>
          </w:tcPr>
          <w:p w14:paraId="2CB3AF08">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Times New Roman" w:cs="宋体"/>
                <w:color w:val="auto"/>
                <w:szCs w:val="21"/>
                <w:highlight w:val="none"/>
              </w:rPr>
            </w:pPr>
            <w:r>
              <w:rPr>
                <w:rFonts w:hint="eastAsia" w:ascii="宋体" w:hAnsi="宋体" w:eastAsia="Times New Roman" w:cs="宋体"/>
                <w:color w:val="auto"/>
                <w:szCs w:val="21"/>
                <w:highlight w:val="none"/>
              </w:rPr>
              <w:t>贷款资金冻结时间</w:t>
            </w:r>
          </w:p>
        </w:tc>
        <w:tc>
          <w:tcPr>
            <w:tcW w:w="6630" w:type="dxa"/>
            <w:vAlign w:val="center"/>
          </w:tcPr>
          <w:p w14:paraId="73F0180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Times New Roman" w:cs="宋体"/>
                <w:color w:val="auto"/>
                <w:szCs w:val="21"/>
                <w:highlight w:val="none"/>
              </w:rPr>
            </w:pPr>
            <w:r>
              <w:rPr>
                <w:rFonts w:hint="eastAsia" w:ascii="宋体" w:hAnsi="宋体" w:eastAsia="Times New Roman" w:cs="宋体"/>
                <w:color w:val="auto"/>
                <w:szCs w:val="21"/>
                <w:highlight w:val="none"/>
              </w:rPr>
              <w:t>实现资金即时到账、无冻结限制得2分；需多次沟通协调或有限制条件放款的不得分。</w:t>
            </w:r>
            <w:r>
              <w:rPr>
                <w:rFonts w:hint="eastAsia" w:ascii="宋体" w:hAnsi="宋体" w:eastAsia="Times New Roman" w:cs="宋体"/>
                <w:b/>
                <w:bCs/>
                <w:color w:val="auto"/>
                <w:szCs w:val="21"/>
                <w:highlight w:val="none"/>
              </w:rPr>
              <w:t>（银行方应提供放款时效承诺书，详细阐述放款流程和所需材料清单，确保其可行性和真实性，承诺书需加盖银行公章及法定代表人或授权代理人签字，承诺书格式见磋商文件）</w:t>
            </w:r>
          </w:p>
        </w:tc>
        <w:tc>
          <w:tcPr>
            <w:tcW w:w="690" w:type="dxa"/>
            <w:vAlign w:val="center"/>
          </w:tcPr>
          <w:p w14:paraId="6670CA95">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Times New Roman" w:cs="宋体"/>
                <w:color w:val="auto"/>
                <w:szCs w:val="21"/>
                <w:highlight w:val="none"/>
              </w:rPr>
            </w:pPr>
            <w:r>
              <w:rPr>
                <w:rFonts w:hint="eastAsia" w:ascii="宋体" w:hAnsi="宋体" w:eastAsia="Times New Roman" w:cs="宋体"/>
                <w:color w:val="auto"/>
                <w:szCs w:val="21"/>
                <w:highlight w:val="none"/>
              </w:rPr>
              <w:t>2</w:t>
            </w:r>
          </w:p>
        </w:tc>
      </w:tr>
      <w:tr w14:paraId="5993884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3" w:hRule="atLeast"/>
        </w:trPr>
        <w:tc>
          <w:tcPr>
            <w:tcW w:w="705" w:type="dxa"/>
            <w:vAlign w:val="center"/>
          </w:tcPr>
          <w:p w14:paraId="1AC2B150">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Times New Roman" w:cs="宋体"/>
                <w:color w:val="auto"/>
                <w:szCs w:val="21"/>
                <w:highlight w:val="none"/>
              </w:rPr>
            </w:pPr>
            <w:r>
              <w:rPr>
                <w:rFonts w:hint="eastAsia" w:ascii="宋体" w:hAnsi="宋体" w:eastAsia="Times New Roman" w:cs="宋体"/>
                <w:b/>
                <w:bCs/>
                <w:color w:val="auto"/>
                <w:szCs w:val="21"/>
                <w:highlight w:val="none"/>
              </w:rPr>
              <w:t>三</w:t>
            </w:r>
          </w:p>
        </w:tc>
        <w:tc>
          <w:tcPr>
            <w:tcW w:w="8415" w:type="dxa"/>
            <w:gridSpan w:val="3"/>
            <w:vAlign w:val="center"/>
          </w:tcPr>
          <w:p w14:paraId="112B3F76">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left"/>
              <w:textAlignment w:val="auto"/>
              <w:rPr>
                <w:rFonts w:hint="eastAsia" w:ascii="宋体" w:hAnsi="宋体" w:eastAsia="Times New Roman" w:cs="宋体"/>
                <w:color w:val="auto"/>
                <w:szCs w:val="21"/>
                <w:highlight w:val="none"/>
              </w:rPr>
            </w:pPr>
            <w:r>
              <w:rPr>
                <w:rFonts w:hint="eastAsia" w:ascii="宋体" w:hAnsi="宋体" w:eastAsia="Times New Roman" w:cs="宋体"/>
                <w:b/>
                <w:bCs/>
                <w:color w:val="auto"/>
                <w:szCs w:val="21"/>
                <w:highlight w:val="none"/>
              </w:rPr>
              <w:t>服务保障能力（61分）</w:t>
            </w:r>
          </w:p>
        </w:tc>
      </w:tr>
      <w:tr w14:paraId="2B1DD74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3" w:hRule="atLeast"/>
        </w:trPr>
        <w:tc>
          <w:tcPr>
            <w:tcW w:w="705" w:type="dxa"/>
            <w:vMerge w:val="restart"/>
            <w:vAlign w:val="center"/>
          </w:tcPr>
          <w:p w14:paraId="561ABCE7">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7</w:t>
            </w:r>
          </w:p>
        </w:tc>
        <w:tc>
          <w:tcPr>
            <w:tcW w:w="1095" w:type="dxa"/>
            <w:vAlign w:val="center"/>
          </w:tcPr>
          <w:p w14:paraId="4DB7B42C">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Times New Roman" w:cs="宋体"/>
                <w:color w:val="auto"/>
                <w:szCs w:val="21"/>
                <w:highlight w:val="none"/>
              </w:rPr>
            </w:pPr>
            <w:r>
              <w:rPr>
                <w:rFonts w:hint="eastAsia" w:ascii="宋体" w:hAnsi="宋体" w:eastAsia="Times New Roman" w:cs="宋体"/>
                <w:color w:val="auto"/>
                <w:szCs w:val="21"/>
                <w:highlight w:val="none"/>
              </w:rPr>
              <w:t>服务方案</w:t>
            </w:r>
          </w:p>
        </w:tc>
        <w:tc>
          <w:tcPr>
            <w:tcW w:w="6630" w:type="dxa"/>
            <w:vAlign w:val="center"/>
          </w:tcPr>
          <w:p w14:paraId="38A89351">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Times New Roman" w:cs="宋体"/>
                <w:bCs/>
                <w:color w:val="auto"/>
                <w:szCs w:val="21"/>
                <w:highlight w:val="none"/>
              </w:rPr>
            </w:pPr>
            <w:r>
              <w:rPr>
                <w:rFonts w:hint="eastAsia" w:ascii="宋体" w:hAnsi="宋体" w:eastAsia="Times New Roman" w:cs="宋体"/>
                <w:bCs/>
                <w:color w:val="auto"/>
                <w:szCs w:val="21"/>
                <w:highlight w:val="none"/>
              </w:rPr>
              <w:t>银行方为本项目提供的服务方案包括但不限于： 业务拓展、技术支持、运行保障、</w:t>
            </w:r>
            <w:r>
              <w:rPr>
                <w:rFonts w:hint="eastAsia" w:ascii="宋体" w:hAnsi="宋体" w:eastAsia="宋体" w:cs="宋体"/>
                <w:bCs/>
                <w:color w:val="auto"/>
                <w:szCs w:val="21"/>
                <w:highlight w:val="none"/>
                <w:lang w:val="en-US" w:eastAsia="zh-CN"/>
              </w:rPr>
              <w:t>上门服务、</w:t>
            </w:r>
            <w:r>
              <w:rPr>
                <w:rFonts w:hint="eastAsia" w:ascii="宋体" w:hAnsi="宋体" w:eastAsia="Times New Roman" w:cs="宋体"/>
                <w:bCs/>
                <w:color w:val="auto"/>
                <w:szCs w:val="21"/>
                <w:highlight w:val="none"/>
              </w:rPr>
              <w:t>资源配置等。方案要求务实可行、可落地执行。根据服务方案排序，</w:t>
            </w:r>
            <w:r>
              <w:rPr>
                <w:rFonts w:hint="eastAsia" w:ascii="宋体" w:hAnsi="宋体" w:eastAsia="Times New Roman" w:cs="宋体"/>
                <w:color w:val="auto"/>
                <w:szCs w:val="21"/>
                <w:highlight w:val="none"/>
              </w:rPr>
              <w:t>排名第一的得40分，排名第二的得37分，排名第三的得34分，依次递减3分/档，分数扣减至0分为止。</w:t>
            </w:r>
          </w:p>
        </w:tc>
        <w:tc>
          <w:tcPr>
            <w:tcW w:w="690" w:type="dxa"/>
            <w:vAlign w:val="center"/>
          </w:tcPr>
          <w:p w14:paraId="52CFF7A8">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Times New Roman" w:cs="宋体"/>
                <w:color w:val="auto"/>
                <w:szCs w:val="21"/>
                <w:highlight w:val="none"/>
              </w:rPr>
            </w:pPr>
            <w:r>
              <w:rPr>
                <w:rFonts w:hint="eastAsia" w:ascii="宋体" w:hAnsi="宋体" w:eastAsia="Times New Roman" w:cs="宋体"/>
                <w:color w:val="auto"/>
                <w:szCs w:val="21"/>
                <w:highlight w:val="none"/>
              </w:rPr>
              <w:t>40分</w:t>
            </w:r>
          </w:p>
        </w:tc>
      </w:tr>
      <w:tr w14:paraId="6F6B662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3" w:hRule="atLeast"/>
        </w:trPr>
        <w:tc>
          <w:tcPr>
            <w:tcW w:w="705" w:type="dxa"/>
            <w:vMerge w:val="continue"/>
            <w:vAlign w:val="center"/>
          </w:tcPr>
          <w:p w14:paraId="5A5CF3BC">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Times New Roman" w:cs="宋体"/>
                <w:color w:val="auto"/>
                <w:szCs w:val="21"/>
                <w:highlight w:val="none"/>
              </w:rPr>
            </w:pPr>
          </w:p>
        </w:tc>
        <w:tc>
          <w:tcPr>
            <w:tcW w:w="8415" w:type="dxa"/>
            <w:gridSpan w:val="3"/>
            <w:vAlign w:val="center"/>
          </w:tcPr>
          <w:p w14:paraId="661E8B84">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Times New Roman" w:cs="宋体"/>
                <w:color w:val="auto"/>
                <w:szCs w:val="21"/>
                <w:highlight w:val="none"/>
              </w:rPr>
            </w:pPr>
            <w:r>
              <w:rPr>
                <w:rFonts w:hint="eastAsia" w:ascii="宋体" w:hAnsi="宋体" w:eastAsia="Times New Roman" w:cs="宋体"/>
                <w:b/>
                <w:color w:val="auto"/>
                <w:szCs w:val="21"/>
                <w:highlight w:val="none"/>
              </w:rPr>
              <w:t>银行方为本项目提供的服务将用于医院业务拓展和建设性项目支持</w:t>
            </w:r>
          </w:p>
        </w:tc>
      </w:tr>
      <w:tr w14:paraId="503E799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84" w:hRule="atLeast"/>
        </w:trPr>
        <w:tc>
          <w:tcPr>
            <w:tcW w:w="705" w:type="dxa"/>
            <w:vAlign w:val="center"/>
          </w:tcPr>
          <w:p w14:paraId="1FCF745F">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8</w:t>
            </w:r>
          </w:p>
        </w:tc>
        <w:tc>
          <w:tcPr>
            <w:tcW w:w="1095" w:type="dxa"/>
            <w:vAlign w:val="center"/>
          </w:tcPr>
          <w:p w14:paraId="0A437A16">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Times New Roman" w:cs="宋体"/>
                <w:color w:val="auto"/>
                <w:szCs w:val="21"/>
                <w:highlight w:val="none"/>
              </w:rPr>
            </w:pPr>
            <w:r>
              <w:rPr>
                <w:rFonts w:hint="eastAsia" w:ascii="宋体" w:hAnsi="宋体" w:eastAsia="Times New Roman" w:cs="宋体"/>
                <w:color w:val="auto"/>
                <w:szCs w:val="21"/>
                <w:highlight w:val="none"/>
              </w:rPr>
              <w:t>储户风险保障方案</w:t>
            </w:r>
          </w:p>
        </w:tc>
        <w:tc>
          <w:tcPr>
            <w:tcW w:w="6630" w:type="dxa"/>
            <w:vAlign w:val="center"/>
          </w:tcPr>
          <w:p w14:paraId="70EB9441">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Times New Roman" w:cs="宋体"/>
                <w:bCs/>
                <w:color w:val="auto"/>
                <w:szCs w:val="21"/>
                <w:highlight w:val="none"/>
              </w:rPr>
            </w:pPr>
            <w:r>
              <w:rPr>
                <w:rFonts w:hint="eastAsia" w:ascii="宋体" w:hAnsi="宋体" w:eastAsia="Times New Roman" w:cs="宋体"/>
                <w:bCs/>
                <w:color w:val="auto"/>
                <w:szCs w:val="21"/>
                <w:highlight w:val="none"/>
              </w:rPr>
              <w:t>根据银行提供的贷款保险制度执行情况、自身风控能力、额外保障承诺、应急处置机制进行评审：</w:t>
            </w:r>
          </w:p>
          <w:p w14:paraId="5EFB7D3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Times New Roman" w:cs="宋体"/>
                <w:bCs/>
                <w:color w:val="auto"/>
                <w:szCs w:val="21"/>
                <w:highlight w:val="none"/>
              </w:rPr>
            </w:pPr>
            <w:r>
              <w:rPr>
                <w:rFonts w:hint="eastAsia" w:ascii="宋体" w:hAnsi="宋体" w:eastAsia="Times New Roman" w:cs="宋体"/>
                <w:bCs/>
                <w:color w:val="auto"/>
                <w:szCs w:val="21"/>
                <w:highlight w:val="none"/>
              </w:rPr>
              <w:t>（1）方案全面、保障措施强、承诺有力的得7分；</w:t>
            </w:r>
          </w:p>
          <w:p w14:paraId="5947B660">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Times New Roman" w:cs="宋体"/>
                <w:bCs/>
                <w:color w:val="auto"/>
                <w:szCs w:val="21"/>
                <w:highlight w:val="none"/>
              </w:rPr>
            </w:pPr>
            <w:r>
              <w:rPr>
                <w:rFonts w:hint="eastAsia" w:ascii="宋体" w:hAnsi="宋体" w:eastAsia="Times New Roman" w:cs="宋体"/>
                <w:bCs/>
                <w:color w:val="auto"/>
                <w:szCs w:val="21"/>
                <w:highlight w:val="none"/>
              </w:rPr>
              <w:t>（2）方案较完整、保障可行，基本满足采购需求的得4分；</w:t>
            </w:r>
          </w:p>
          <w:p w14:paraId="4215B81C">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Times New Roman" w:cs="宋体"/>
                <w:bCs/>
                <w:color w:val="auto"/>
                <w:szCs w:val="21"/>
                <w:highlight w:val="none"/>
              </w:rPr>
            </w:pPr>
            <w:r>
              <w:rPr>
                <w:rFonts w:hint="eastAsia" w:ascii="宋体" w:hAnsi="宋体" w:eastAsia="Times New Roman" w:cs="宋体"/>
                <w:bCs/>
                <w:color w:val="auto"/>
                <w:szCs w:val="21"/>
                <w:highlight w:val="none"/>
              </w:rPr>
              <w:t>（3）方案简单，保障能力阐述一般的得1分；</w:t>
            </w:r>
          </w:p>
          <w:p w14:paraId="2BF8173F">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Times New Roman" w:cs="宋体"/>
                <w:bCs/>
                <w:color w:val="auto"/>
                <w:szCs w:val="21"/>
                <w:highlight w:val="none"/>
              </w:rPr>
            </w:pPr>
            <w:r>
              <w:rPr>
                <w:rFonts w:hint="eastAsia" w:ascii="宋体" w:hAnsi="宋体" w:eastAsia="Times New Roman" w:cs="宋体"/>
                <w:bCs/>
                <w:color w:val="auto"/>
                <w:szCs w:val="21"/>
                <w:highlight w:val="none"/>
              </w:rPr>
              <w:t>（4）方案有缺陷或未提供的不得分。</w:t>
            </w:r>
          </w:p>
        </w:tc>
        <w:tc>
          <w:tcPr>
            <w:tcW w:w="690" w:type="dxa"/>
            <w:vAlign w:val="center"/>
          </w:tcPr>
          <w:p w14:paraId="7B5A3CBC">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Times New Roman" w:cs="宋体"/>
                <w:color w:val="auto"/>
                <w:szCs w:val="21"/>
                <w:highlight w:val="none"/>
              </w:rPr>
            </w:pPr>
            <w:r>
              <w:rPr>
                <w:rFonts w:hint="eastAsia" w:ascii="宋体" w:hAnsi="宋体" w:eastAsia="Times New Roman" w:cs="宋体"/>
                <w:color w:val="auto"/>
                <w:szCs w:val="21"/>
                <w:highlight w:val="none"/>
              </w:rPr>
              <w:t>7分</w:t>
            </w:r>
          </w:p>
        </w:tc>
      </w:tr>
      <w:tr w14:paraId="1FF92F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302" w:hRule="atLeast"/>
        </w:trPr>
        <w:tc>
          <w:tcPr>
            <w:tcW w:w="705" w:type="dxa"/>
            <w:vAlign w:val="center"/>
          </w:tcPr>
          <w:p w14:paraId="11730A7A">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9</w:t>
            </w:r>
          </w:p>
        </w:tc>
        <w:tc>
          <w:tcPr>
            <w:tcW w:w="1095" w:type="dxa"/>
            <w:vAlign w:val="center"/>
          </w:tcPr>
          <w:p w14:paraId="5E4B94C5">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Times New Roman" w:cs="宋体"/>
                <w:bCs/>
                <w:color w:val="auto"/>
                <w:szCs w:val="21"/>
                <w:highlight w:val="none"/>
              </w:rPr>
            </w:pPr>
            <w:r>
              <w:rPr>
                <w:rFonts w:hint="eastAsia" w:ascii="宋体" w:hAnsi="宋体" w:eastAsia="Times New Roman" w:cs="宋体"/>
                <w:bCs/>
                <w:color w:val="auto"/>
                <w:szCs w:val="21"/>
                <w:highlight w:val="none"/>
              </w:rPr>
              <w:t>服务管理与履约保障</w:t>
            </w:r>
          </w:p>
        </w:tc>
        <w:tc>
          <w:tcPr>
            <w:tcW w:w="6630" w:type="dxa"/>
            <w:vAlign w:val="center"/>
          </w:tcPr>
          <w:p w14:paraId="2D77A041">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Times New Roman" w:cs="宋体"/>
                <w:bCs/>
                <w:color w:val="auto"/>
                <w:szCs w:val="21"/>
                <w:highlight w:val="none"/>
              </w:rPr>
            </w:pPr>
            <w:r>
              <w:rPr>
                <w:rFonts w:hint="eastAsia" w:ascii="宋体" w:hAnsi="宋体" w:eastAsia="Times New Roman" w:cs="宋体"/>
                <w:bCs/>
                <w:color w:val="auto"/>
                <w:szCs w:val="21"/>
                <w:highlight w:val="none"/>
              </w:rPr>
              <w:t>根据银行提供的服务管理体系完备性（组织架构、流程制度）、服务及时性承诺（响应时效、绿色通道）、监控评价制度（回访机制、服务报告）、问题处理与改进机制进行评审：</w:t>
            </w:r>
          </w:p>
          <w:p w14:paraId="6E65BE1C">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Times New Roman" w:cs="宋体"/>
                <w:bCs/>
                <w:color w:val="auto"/>
                <w:szCs w:val="21"/>
                <w:highlight w:val="none"/>
              </w:rPr>
            </w:pPr>
            <w:r>
              <w:rPr>
                <w:rFonts w:hint="eastAsia" w:ascii="宋体" w:hAnsi="宋体" w:eastAsia="Times New Roman" w:cs="宋体"/>
                <w:bCs/>
                <w:color w:val="auto"/>
                <w:szCs w:val="21"/>
                <w:highlight w:val="none"/>
              </w:rPr>
              <w:t>（1）制度健全、承诺优、量化指标明确的得7分；</w:t>
            </w:r>
          </w:p>
          <w:p w14:paraId="3DB303F6">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Times New Roman" w:cs="宋体"/>
                <w:bCs/>
                <w:color w:val="auto"/>
                <w:szCs w:val="21"/>
                <w:highlight w:val="none"/>
              </w:rPr>
            </w:pPr>
            <w:r>
              <w:rPr>
                <w:rFonts w:hint="eastAsia" w:ascii="宋体" w:hAnsi="宋体" w:eastAsia="Times New Roman" w:cs="宋体"/>
                <w:bCs/>
                <w:color w:val="auto"/>
                <w:szCs w:val="21"/>
                <w:highlight w:val="none"/>
              </w:rPr>
              <w:t>（2）制度较完整、承诺可行的得4分；</w:t>
            </w:r>
          </w:p>
          <w:p w14:paraId="79225BD6">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Times New Roman" w:cs="宋体"/>
                <w:bCs/>
                <w:color w:val="auto"/>
                <w:szCs w:val="21"/>
                <w:highlight w:val="none"/>
              </w:rPr>
            </w:pPr>
            <w:r>
              <w:rPr>
                <w:rFonts w:hint="eastAsia" w:ascii="宋体" w:hAnsi="宋体" w:eastAsia="Times New Roman" w:cs="宋体"/>
                <w:bCs/>
                <w:color w:val="auto"/>
                <w:szCs w:val="21"/>
                <w:highlight w:val="none"/>
              </w:rPr>
              <w:t>（3）制度基本完善，有一定保障能力的得1分；</w:t>
            </w:r>
          </w:p>
          <w:p w14:paraId="26178CFA">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Times New Roman" w:cs="宋体"/>
                <w:bCs/>
                <w:color w:val="auto"/>
                <w:szCs w:val="21"/>
                <w:highlight w:val="none"/>
              </w:rPr>
            </w:pPr>
            <w:r>
              <w:rPr>
                <w:rFonts w:hint="eastAsia" w:ascii="宋体" w:hAnsi="宋体" w:eastAsia="Times New Roman" w:cs="宋体"/>
                <w:bCs/>
                <w:color w:val="auto"/>
                <w:szCs w:val="21"/>
                <w:highlight w:val="none"/>
              </w:rPr>
              <w:t>（4）制度有缺陷或未提供的不得分。</w:t>
            </w:r>
          </w:p>
        </w:tc>
        <w:tc>
          <w:tcPr>
            <w:tcW w:w="690" w:type="dxa"/>
            <w:vAlign w:val="center"/>
          </w:tcPr>
          <w:p w14:paraId="2FA4D3B9">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Times New Roman" w:cs="宋体"/>
                <w:color w:val="auto"/>
                <w:szCs w:val="21"/>
                <w:highlight w:val="none"/>
              </w:rPr>
            </w:pPr>
            <w:r>
              <w:rPr>
                <w:rFonts w:hint="eastAsia" w:ascii="宋体" w:hAnsi="宋体" w:eastAsia="Times New Roman" w:cs="宋体"/>
                <w:color w:val="auto"/>
                <w:szCs w:val="21"/>
                <w:highlight w:val="none"/>
              </w:rPr>
              <w:t>7分</w:t>
            </w:r>
          </w:p>
        </w:tc>
      </w:tr>
      <w:tr w14:paraId="3F5891F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302" w:hRule="atLeast"/>
        </w:trPr>
        <w:tc>
          <w:tcPr>
            <w:tcW w:w="705" w:type="dxa"/>
            <w:vAlign w:val="center"/>
          </w:tcPr>
          <w:p w14:paraId="37440D83">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10</w:t>
            </w:r>
          </w:p>
        </w:tc>
        <w:tc>
          <w:tcPr>
            <w:tcW w:w="1095" w:type="dxa"/>
            <w:vAlign w:val="center"/>
          </w:tcPr>
          <w:p w14:paraId="6B7C7E7F">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Times New Roman" w:cs="宋体"/>
                <w:bCs/>
                <w:color w:val="auto"/>
                <w:szCs w:val="21"/>
                <w:highlight w:val="none"/>
              </w:rPr>
            </w:pPr>
            <w:r>
              <w:rPr>
                <w:rFonts w:hint="eastAsia" w:ascii="宋体" w:hAnsi="宋体" w:eastAsia="Times New Roman" w:cs="宋体"/>
                <w:bCs/>
                <w:color w:val="auto"/>
                <w:szCs w:val="21"/>
                <w:highlight w:val="none"/>
              </w:rPr>
              <w:t>对账服务</w:t>
            </w:r>
          </w:p>
        </w:tc>
        <w:tc>
          <w:tcPr>
            <w:tcW w:w="6630" w:type="dxa"/>
            <w:vAlign w:val="center"/>
          </w:tcPr>
          <w:p w14:paraId="1EAC49D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Times New Roman" w:cs="宋体"/>
                <w:bCs/>
                <w:color w:val="auto"/>
                <w:szCs w:val="21"/>
                <w:highlight w:val="none"/>
              </w:rPr>
            </w:pPr>
            <w:r>
              <w:rPr>
                <w:rFonts w:hint="eastAsia" w:ascii="宋体" w:hAnsi="宋体" w:eastAsia="Times New Roman" w:cs="宋体"/>
                <w:bCs/>
                <w:color w:val="auto"/>
                <w:szCs w:val="21"/>
                <w:highlight w:val="none"/>
              </w:rPr>
              <w:t>根据投标人提供的对账服务、账户资金安全措施、风险预防及保障措施进行综合评审：</w:t>
            </w:r>
          </w:p>
          <w:p w14:paraId="529076D5">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Times New Roman" w:cs="宋体"/>
                <w:bCs/>
                <w:color w:val="auto"/>
                <w:szCs w:val="21"/>
                <w:highlight w:val="none"/>
              </w:rPr>
            </w:pPr>
            <w:r>
              <w:rPr>
                <w:rFonts w:hint="eastAsia" w:ascii="宋体" w:hAnsi="宋体" w:eastAsia="Times New Roman" w:cs="宋体"/>
                <w:bCs/>
                <w:color w:val="auto"/>
                <w:szCs w:val="21"/>
                <w:highlight w:val="none"/>
              </w:rPr>
              <w:t>（1）方案完善，安全措施针对性强得7分；</w:t>
            </w:r>
          </w:p>
          <w:p w14:paraId="0B50C4C7">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Times New Roman" w:cs="宋体"/>
                <w:bCs/>
                <w:color w:val="auto"/>
                <w:szCs w:val="21"/>
                <w:highlight w:val="none"/>
              </w:rPr>
            </w:pPr>
            <w:r>
              <w:rPr>
                <w:rFonts w:hint="eastAsia" w:ascii="宋体" w:hAnsi="宋体" w:eastAsia="Times New Roman" w:cs="宋体"/>
                <w:bCs/>
                <w:color w:val="auto"/>
                <w:szCs w:val="21"/>
                <w:highlight w:val="none"/>
              </w:rPr>
              <w:t>（2）方案较完善，安全措施针对性较强得4分；</w:t>
            </w:r>
          </w:p>
          <w:p w14:paraId="134DC2DC">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Times New Roman" w:cs="宋体"/>
                <w:bCs/>
                <w:color w:val="auto"/>
                <w:szCs w:val="21"/>
                <w:highlight w:val="none"/>
              </w:rPr>
            </w:pPr>
            <w:r>
              <w:rPr>
                <w:rFonts w:hint="eastAsia" w:ascii="宋体" w:hAnsi="宋体" w:eastAsia="Times New Roman" w:cs="宋体"/>
                <w:bCs/>
                <w:color w:val="auto"/>
                <w:szCs w:val="21"/>
                <w:highlight w:val="none"/>
              </w:rPr>
              <w:t>（3）方案，安全措施一般得1分；</w:t>
            </w:r>
          </w:p>
          <w:p w14:paraId="3A94019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Times New Roman" w:cs="宋体"/>
                <w:bCs/>
                <w:color w:val="auto"/>
                <w:szCs w:val="21"/>
                <w:highlight w:val="none"/>
              </w:rPr>
            </w:pPr>
            <w:r>
              <w:rPr>
                <w:rFonts w:hint="eastAsia" w:ascii="宋体" w:hAnsi="宋体" w:eastAsia="Times New Roman" w:cs="宋体"/>
                <w:bCs/>
                <w:color w:val="auto"/>
                <w:szCs w:val="21"/>
                <w:highlight w:val="none"/>
              </w:rPr>
              <w:t>（4）未提供不得分。</w:t>
            </w:r>
          </w:p>
        </w:tc>
        <w:tc>
          <w:tcPr>
            <w:tcW w:w="690" w:type="dxa"/>
            <w:vAlign w:val="center"/>
          </w:tcPr>
          <w:p w14:paraId="58680D79">
            <w:pPr>
              <w:keepNext w:val="0"/>
              <w:keepLines w:val="0"/>
              <w:pageBreakBefore w:val="0"/>
              <w:widowControl w:val="0"/>
              <w:kinsoku/>
              <w:wordWrap/>
              <w:overflowPunct/>
              <w:topLinePunct w:val="0"/>
              <w:autoSpaceDE/>
              <w:autoSpaceDN/>
              <w:bidi w:val="0"/>
              <w:adjustRightInd/>
              <w:snapToGrid/>
              <w:spacing w:before="100" w:beforeAutospacing="1" w:after="100" w:afterAutospacing="1" w:line="360" w:lineRule="exact"/>
              <w:jc w:val="center"/>
              <w:textAlignment w:val="auto"/>
              <w:rPr>
                <w:rFonts w:hint="eastAsia" w:ascii="宋体" w:hAnsi="宋体" w:eastAsia="Times New Roman" w:cs="宋体"/>
                <w:color w:val="auto"/>
                <w:szCs w:val="21"/>
                <w:highlight w:val="none"/>
              </w:rPr>
            </w:pPr>
            <w:r>
              <w:rPr>
                <w:rFonts w:hint="eastAsia" w:ascii="宋体" w:hAnsi="宋体" w:eastAsia="Times New Roman" w:cs="宋体"/>
                <w:color w:val="auto"/>
                <w:szCs w:val="21"/>
                <w:highlight w:val="none"/>
              </w:rPr>
              <w:t>7分</w:t>
            </w:r>
          </w:p>
        </w:tc>
      </w:tr>
    </w:tbl>
    <w:p w14:paraId="011EDF92">
      <w:pPr>
        <w:spacing w:line="360" w:lineRule="auto"/>
        <w:jc w:val="both"/>
        <w:rPr>
          <w:rFonts w:hint="eastAsia" w:ascii="宋体" w:hAnsi="宋体"/>
          <w:b/>
          <w:color w:val="auto"/>
          <w:sz w:val="28"/>
          <w:szCs w:val="28"/>
          <w:highlight w:val="none"/>
        </w:rPr>
      </w:pPr>
    </w:p>
    <w:p w14:paraId="7997B9C8">
      <w:pPr>
        <w:spacing w:line="360" w:lineRule="auto"/>
        <w:jc w:val="center"/>
        <w:rPr>
          <w:rFonts w:hint="eastAsia" w:ascii="宋体" w:hAnsi="宋体"/>
          <w:b/>
          <w:color w:val="auto"/>
          <w:sz w:val="28"/>
          <w:szCs w:val="28"/>
          <w:highlight w:val="none"/>
        </w:rPr>
      </w:pPr>
      <w:r>
        <w:rPr>
          <w:rFonts w:hint="eastAsia" w:ascii="宋体" w:hAnsi="宋体"/>
          <w:b/>
          <w:color w:val="auto"/>
          <w:sz w:val="28"/>
          <w:szCs w:val="28"/>
          <w:highlight w:val="none"/>
        </w:rPr>
        <w:t>四、采购需求</w:t>
      </w:r>
    </w:p>
    <w:p w14:paraId="44D7AFBA">
      <w:pPr>
        <w:spacing w:line="360" w:lineRule="auto"/>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一、项目概况</w:t>
      </w:r>
    </w:p>
    <w:p w14:paraId="283E2B6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南京市溧水区人民医院有一笔贷款即将到期，现通过竞争性磋商方式选取一家银行，在贷款到期后开展新一轮的短期贷款。</w:t>
      </w:r>
    </w:p>
    <w:p w14:paraId="624184DA">
      <w:pPr>
        <w:spacing w:line="360" w:lineRule="auto"/>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二、项目需求</w:t>
      </w:r>
    </w:p>
    <w:p w14:paraId="77F2998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贷款金额：人民币</w:t>
      </w:r>
      <w:r>
        <w:rPr>
          <w:rFonts w:hint="eastAsia" w:ascii="宋体" w:hAnsi="宋体" w:cs="宋体"/>
          <w:color w:val="auto"/>
          <w:szCs w:val="21"/>
          <w:highlight w:val="none"/>
          <w:lang w:val="en-US" w:eastAsia="zh-CN"/>
        </w:rPr>
        <w:t>50</w:t>
      </w:r>
      <w:r>
        <w:rPr>
          <w:rFonts w:hint="eastAsia" w:ascii="宋体" w:hAnsi="宋体" w:cs="宋体"/>
          <w:color w:val="auto"/>
          <w:szCs w:val="21"/>
          <w:highlight w:val="none"/>
        </w:rPr>
        <w:t>00万元。</w:t>
      </w:r>
    </w:p>
    <w:p w14:paraId="5B851C6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贷款划拨时限：北京时间2026年</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14</w:t>
      </w:r>
      <w:r>
        <w:rPr>
          <w:rFonts w:hint="eastAsia" w:ascii="宋体" w:hAnsi="宋体" w:cs="宋体"/>
          <w:color w:val="auto"/>
          <w:szCs w:val="21"/>
          <w:highlight w:val="none"/>
        </w:rPr>
        <w:t>日前划拨至溧水区人民医院的指定账户。</w:t>
      </w:r>
    </w:p>
    <w:p w14:paraId="114D15D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贷款的支取及用途：支持账户资金转出无限制，保障医院资金灵活调配。贷款审批通过后，资金直接划入医院指定账户，保障资金即时可用，并提供专属服务配置与上门对接服务。</w:t>
      </w:r>
    </w:p>
    <w:p w14:paraId="68B0263E">
      <w:pPr>
        <w:spacing w:line="360" w:lineRule="auto"/>
        <w:rPr>
          <w:rFonts w:hint="eastAsia" w:asciiTheme="minorEastAsia" w:hAnsiTheme="minorEastAsia" w:eastAsiaTheme="minorEastAsia" w:cstheme="minorEastAsia"/>
          <w:b/>
          <w:bCs/>
          <w:color w:val="auto"/>
          <w:szCs w:val="21"/>
          <w:highlight w:val="none"/>
        </w:rPr>
      </w:pPr>
      <w:r>
        <w:rPr>
          <w:rFonts w:hint="eastAsia" w:asciiTheme="minorEastAsia" w:hAnsiTheme="minorEastAsia" w:eastAsiaTheme="minorEastAsia" w:cstheme="minorEastAsia"/>
          <w:b/>
          <w:bCs/>
          <w:color w:val="auto"/>
          <w:szCs w:val="21"/>
          <w:highlight w:val="none"/>
        </w:rPr>
        <w:t>三、成交须知</w:t>
      </w:r>
    </w:p>
    <w:p w14:paraId="4ABBCA8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w:t>
      </w:r>
      <w:r>
        <w:rPr>
          <w:rFonts w:hint="eastAsia" w:ascii="宋体" w:hAnsi="宋体" w:cs="宋体"/>
          <w:color w:val="auto"/>
          <w:szCs w:val="21"/>
          <w:highlight w:val="none"/>
          <w:lang w:eastAsia="zh-CN"/>
        </w:rPr>
        <w:t>钟信公司</w:t>
      </w:r>
      <w:r>
        <w:rPr>
          <w:rFonts w:hint="eastAsia" w:ascii="宋体" w:hAnsi="宋体" w:cs="宋体"/>
          <w:color w:val="auto"/>
          <w:szCs w:val="21"/>
          <w:highlight w:val="none"/>
        </w:rPr>
        <w:t>通过成交通知书告知银行成交结果，成交银行及时领取成交通知书。</w:t>
      </w:r>
    </w:p>
    <w:p w14:paraId="520A229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2.成交通知书对南京市溧水区人民医院和成交银行具有同等法律效力。</w:t>
      </w:r>
    </w:p>
    <w:p w14:paraId="6E3412B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3.所有磋商文件均作为档案保存，不论选定与否，均不退回。</w:t>
      </w:r>
    </w:p>
    <w:p w14:paraId="115CDC97">
      <w:pPr>
        <w:pStyle w:val="28"/>
        <w:rPr>
          <w:color w:val="auto"/>
          <w:highlight w:val="none"/>
        </w:rPr>
      </w:pPr>
    </w:p>
    <w:p w14:paraId="61040B16">
      <w:pPr>
        <w:pStyle w:val="28"/>
        <w:rPr>
          <w:rFonts w:hint="eastAsia" w:hAnsi="宋体"/>
          <w:color w:val="auto"/>
          <w:sz w:val="21"/>
          <w:szCs w:val="21"/>
          <w:highlight w:val="none"/>
        </w:rPr>
      </w:pPr>
    </w:p>
    <w:p w14:paraId="6EE69647">
      <w:pPr>
        <w:pStyle w:val="4"/>
        <w:numPr>
          <w:ilvl w:val="0"/>
          <w:numId w:val="0"/>
        </w:numPr>
        <w:jc w:val="center"/>
        <w:rPr>
          <w:rFonts w:hint="eastAsia" w:ascii="宋体" w:hAnsi="宋体" w:eastAsia="宋体"/>
          <w:color w:val="auto"/>
          <w:kern w:val="2"/>
          <w:szCs w:val="28"/>
          <w:highlight w:val="none"/>
        </w:rPr>
      </w:pPr>
    </w:p>
    <w:p w14:paraId="6ECFF39C">
      <w:pPr>
        <w:pStyle w:val="4"/>
        <w:numPr>
          <w:ilvl w:val="0"/>
          <w:numId w:val="0"/>
        </w:numPr>
        <w:jc w:val="center"/>
        <w:rPr>
          <w:rFonts w:hint="eastAsia" w:ascii="宋体" w:hAnsi="宋体" w:eastAsia="宋体"/>
          <w:color w:val="auto"/>
          <w:kern w:val="2"/>
          <w:szCs w:val="28"/>
          <w:highlight w:val="none"/>
        </w:rPr>
      </w:pPr>
    </w:p>
    <w:p w14:paraId="69E09A8D">
      <w:pPr>
        <w:rPr>
          <w:rFonts w:hint="eastAsia" w:ascii="宋体" w:hAnsi="宋体"/>
          <w:color w:val="auto"/>
          <w:szCs w:val="28"/>
          <w:highlight w:val="none"/>
        </w:rPr>
      </w:pPr>
    </w:p>
    <w:p w14:paraId="2B460508">
      <w:pPr>
        <w:rPr>
          <w:rFonts w:hint="eastAsia" w:ascii="宋体" w:hAnsi="宋体"/>
          <w:color w:val="auto"/>
          <w:szCs w:val="28"/>
          <w:highlight w:val="none"/>
        </w:rPr>
      </w:pPr>
    </w:p>
    <w:p w14:paraId="7961CEEA">
      <w:pPr>
        <w:rPr>
          <w:rFonts w:hint="eastAsia" w:ascii="宋体" w:hAnsi="宋体"/>
          <w:color w:val="auto"/>
          <w:szCs w:val="28"/>
          <w:highlight w:val="none"/>
        </w:rPr>
      </w:pPr>
    </w:p>
    <w:p w14:paraId="64A5EC05">
      <w:pPr>
        <w:pStyle w:val="4"/>
        <w:numPr>
          <w:ilvl w:val="0"/>
          <w:numId w:val="0"/>
        </w:numPr>
        <w:jc w:val="center"/>
        <w:rPr>
          <w:rFonts w:hint="eastAsia" w:ascii="宋体" w:hAnsi="宋体" w:eastAsia="宋体"/>
          <w:color w:val="auto"/>
          <w:kern w:val="2"/>
          <w:szCs w:val="28"/>
          <w:highlight w:val="none"/>
        </w:rPr>
      </w:pPr>
    </w:p>
    <w:p w14:paraId="7FFEDA75">
      <w:pPr>
        <w:pStyle w:val="4"/>
        <w:numPr>
          <w:ilvl w:val="0"/>
          <w:numId w:val="0"/>
        </w:numPr>
        <w:jc w:val="center"/>
        <w:rPr>
          <w:rFonts w:hint="eastAsia" w:ascii="宋体" w:hAnsi="宋体" w:eastAsia="宋体"/>
          <w:color w:val="auto"/>
          <w:kern w:val="2"/>
          <w:szCs w:val="28"/>
          <w:highlight w:val="none"/>
        </w:rPr>
      </w:pPr>
    </w:p>
    <w:p w14:paraId="3A6CC61B">
      <w:pPr>
        <w:pStyle w:val="4"/>
        <w:numPr>
          <w:ilvl w:val="0"/>
          <w:numId w:val="0"/>
        </w:numPr>
        <w:jc w:val="center"/>
        <w:rPr>
          <w:rFonts w:hint="eastAsia" w:ascii="宋体" w:hAnsi="宋体" w:eastAsia="宋体"/>
          <w:color w:val="auto"/>
          <w:kern w:val="2"/>
          <w:szCs w:val="28"/>
          <w:highlight w:val="none"/>
        </w:rPr>
      </w:pPr>
    </w:p>
    <w:p w14:paraId="4227E07B">
      <w:pPr>
        <w:pStyle w:val="4"/>
        <w:numPr>
          <w:ilvl w:val="0"/>
          <w:numId w:val="0"/>
        </w:numPr>
        <w:jc w:val="center"/>
        <w:rPr>
          <w:rFonts w:hint="eastAsia" w:ascii="宋体" w:hAnsi="宋体" w:eastAsia="宋体"/>
          <w:color w:val="auto"/>
          <w:kern w:val="2"/>
          <w:szCs w:val="28"/>
          <w:highlight w:val="none"/>
        </w:rPr>
      </w:pPr>
    </w:p>
    <w:p w14:paraId="521EAD0B">
      <w:pPr>
        <w:pStyle w:val="4"/>
        <w:numPr>
          <w:ilvl w:val="0"/>
          <w:numId w:val="0"/>
        </w:numPr>
        <w:jc w:val="center"/>
        <w:rPr>
          <w:rFonts w:hint="eastAsia" w:ascii="宋体" w:hAnsi="宋体" w:eastAsia="宋体"/>
          <w:color w:val="auto"/>
          <w:kern w:val="2"/>
          <w:szCs w:val="28"/>
          <w:highlight w:val="none"/>
        </w:rPr>
      </w:pPr>
    </w:p>
    <w:p w14:paraId="144198F4">
      <w:pPr>
        <w:pStyle w:val="4"/>
        <w:numPr>
          <w:ilvl w:val="0"/>
          <w:numId w:val="0"/>
        </w:numPr>
        <w:jc w:val="center"/>
        <w:rPr>
          <w:rFonts w:hint="eastAsia" w:ascii="宋体" w:hAnsi="宋体" w:eastAsia="宋体"/>
          <w:color w:val="auto"/>
          <w:kern w:val="2"/>
          <w:szCs w:val="28"/>
          <w:highlight w:val="none"/>
        </w:rPr>
      </w:pPr>
    </w:p>
    <w:p w14:paraId="0BDC1B2C">
      <w:pPr>
        <w:pStyle w:val="4"/>
        <w:numPr>
          <w:ilvl w:val="0"/>
          <w:numId w:val="0"/>
        </w:numPr>
        <w:jc w:val="center"/>
        <w:rPr>
          <w:rFonts w:hint="eastAsia" w:ascii="宋体" w:hAnsi="宋体" w:eastAsia="宋体"/>
          <w:color w:val="auto"/>
          <w:kern w:val="2"/>
          <w:szCs w:val="28"/>
          <w:highlight w:val="none"/>
        </w:rPr>
      </w:pPr>
    </w:p>
    <w:p w14:paraId="4504E5C5">
      <w:pPr>
        <w:pStyle w:val="4"/>
        <w:numPr>
          <w:ilvl w:val="0"/>
          <w:numId w:val="0"/>
        </w:numPr>
        <w:jc w:val="center"/>
        <w:rPr>
          <w:rFonts w:hint="eastAsia" w:ascii="宋体" w:hAnsi="宋体" w:eastAsia="宋体"/>
          <w:color w:val="auto"/>
          <w:kern w:val="2"/>
          <w:szCs w:val="28"/>
          <w:highlight w:val="none"/>
        </w:rPr>
      </w:pPr>
    </w:p>
    <w:p w14:paraId="0585FCE3">
      <w:pPr>
        <w:pStyle w:val="4"/>
        <w:numPr>
          <w:ilvl w:val="0"/>
          <w:numId w:val="0"/>
        </w:numPr>
        <w:jc w:val="center"/>
        <w:rPr>
          <w:rFonts w:hint="eastAsia" w:ascii="宋体" w:hAnsi="宋体" w:eastAsia="宋体" w:cs="宋体"/>
          <w:color w:val="auto"/>
          <w:sz w:val="21"/>
          <w:szCs w:val="21"/>
          <w:highlight w:val="none"/>
        </w:rPr>
      </w:pPr>
      <w:r>
        <w:rPr>
          <w:rFonts w:hint="eastAsia" w:ascii="宋体" w:hAnsi="宋体" w:eastAsia="宋体"/>
          <w:color w:val="auto"/>
          <w:kern w:val="2"/>
          <w:szCs w:val="28"/>
          <w:highlight w:val="none"/>
        </w:rPr>
        <w:t>五、拟签订的合同条款</w:t>
      </w:r>
    </w:p>
    <w:p w14:paraId="29716614">
      <w:pPr>
        <w:pStyle w:val="9"/>
        <w:spacing w:before="337" w:line="219" w:lineRule="auto"/>
        <w:jc w:val="center"/>
        <w:rPr>
          <w:rFonts w:hint="eastAsia" w:ascii="宋体" w:hAnsi="宋体" w:eastAsia="宋体" w:cs="宋体"/>
          <w:b/>
          <w:bCs/>
          <w:color w:val="auto"/>
          <w:spacing w:val="-3"/>
          <w:sz w:val="21"/>
          <w:szCs w:val="21"/>
          <w:highlight w:val="none"/>
        </w:rPr>
      </w:pPr>
      <w:r>
        <w:rPr>
          <w:rFonts w:hint="eastAsia" w:ascii="宋体" w:hAnsi="宋体" w:eastAsia="宋体" w:cs="宋体"/>
          <w:b/>
          <w:bCs/>
          <w:color w:val="auto"/>
          <w:spacing w:val="-3"/>
          <w:sz w:val="21"/>
          <w:szCs w:val="21"/>
          <w:highlight w:val="none"/>
        </w:rPr>
        <w:t>根据各银行人民币流动资金贷款合同范本拟制，经院方审核无误后签订</w:t>
      </w:r>
    </w:p>
    <w:p w14:paraId="3B1FA9E5">
      <w:pPr>
        <w:pStyle w:val="9"/>
        <w:spacing w:before="337" w:line="219"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3"/>
          <w:sz w:val="21"/>
          <w:szCs w:val="21"/>
          <w:highlight w:val="none"/>
        </w:rPr>
        <w:t>（参照磋商文件附件）</w:t>
      </w:r>
    </w:p>
    <w:p w14:paraId="7BD12B98">
      <w:pPr>
        <w:spacing w:line="352" w:lineRule="auto"/>
        <w:rPr>
          <w:rFonts w:hint="eastAsia" w:ascii="宋体" w:hAnsi="宋体" w:cs="宋体"/>
          <w:color w:val="auto"/>
          <w:szCs w:val="21"/>
          <w:highlight w:val="none"/>
        </w:rPr>
      </w:pPr>
    </w:p>
    <w:p w14:paraId="65C027FA">
      <w:pPr>
        <w:spacing w:line="360" w:lineRule="auto"/>
        <w:jc w:val="center"/>
        <w:rPr>
          <w:rFonts w:hint="eastAsia" w:ascii="黑体" w:hAnsi="黑体" w:eastAsia="黑体"/>
          <w:snapToGrid w:val="0"/>
          <w:color w:val="auto"/>
          <w:kern w:val="0"/>
          <w:sz w:val="36"/>
          <w:szCs w:val="36"/>
          <w:highlight w:val="none"/>
        </w:rPr>
      </w:pPr>
    </w:p>
    <w:p w14:paraId="73230505">
      <w:pPr>
        <w:spacing w:line="360" w:lineRule="auto"/>
        <w:jc w:val="center"/>
        <w:rPr>
          <w:rFonts w:hint="eastAsia" w:ascii="黑体" w:hAnsi="黑体" w:eastAsia="黑体"/>
          <w:snapToGrid w:val="0"/>
          <w:color w:val="auto"/>
          <w:kern w:val="0"/>
          <w:sz w:val="36"/>
          <w:szCs w:val="36"/>
          <w:highlight w:val="none"/>
        </w:rPr>
      </w:pPr>
    </w:p>
    <w:p w14:paraId="35CC4BF8">
      <w:pPr>
        <w:spacing w:line="360" w:lineRule="auto"/>
        <w:jc w:val="center"/>
        <w:rPr>
          <w:rFonts w:hint="eastAsia" w:ascii="黑体" w:hAnsi="黑体" w:eastAsia="黑体"/>
          <w:snapToGrid w:val="0"/>
          <w:color w:val="auto"/>
          <w:kern w:val="0"/>
          <w:sz w:val="36"/>
          <w:szCs w:val="36"/>
          <w:highlight w:val="none"/>
        </w:rPr>
      </w:pPr>
    </w:p>
    <w:p w14:paraId="26CD18A3">
      <w:pPr>
        <w:spacing w:line="360" w:lineRule="auto"/>
        <w:jc w:val="center"/>
        <w:rPr>
          <w:rFonts w:hint="eastAsia" w:ascii="黑体" w:hAnsi="黑体" w:eastAsia="黑体"/>
          <w:snapToGrid w:val="0"/>
          <w:color w:val="auto"/>
          <w:kern w:val="0"/>
          <w:sz w:val="36"/>
          <w:szCs w:val="36"/>
          <w:highlight w:val="none"/>
        </w:rPr>
      </w:pPr>
    </w:p>
    <w:p w14:paraId="63E91082">
      <w:pPr>
        <w:spacing w:line="360" w:lineRule="auto"/>
        <w:jc w:val="center"/>
        <w:rPr>
          <w:rFonts w:hint="eastAsia" w:ascii="黑体" w:hAnsi="黑体" w:eastAsia="黑体"/>
          <w:snapToGrid w:val="0"/>
          <w:color w:val="auto"/>
          <w:kern w:val="0"/>
          <w:sz w:val="36"/>
          <w:szCs w:val="36"/>
          <w:highlight w:val="none"/>
        </w:rPr>
      </w:pPr>
    </w:p>
    <w:p w14:paraId="522E7638">
      <w:pPr>
        <w:spacing w:line="360" w:lineRule="auto"/>
        <w:jc w:val="center"/>
        <w:rPr>
          <w:rFonts w:hint="eastAsia" w:ascii="黑体" w:hAnsi="黑体" w:eastAsia="黑体"/>
          <w:snapToGrid w:val="0"/>
          <w:color w:val="auto"/>
          <w:kern w:val="0"/>
          <w:sz w:val="36"/>
          <w:szCs w:val="36"/>
          <w:highlight w:val="none"/>
        </w:rPr>
      </w:pPr>
    </w:p>
    <w:p w14:paraId="77F793B0">
      <w:pPr>
        <w:spacing w:line="360" w:lineRule="auto"/>
        <w:jc w:val="center"/>
        <w:rPr>
          <w:rFonts w:hint="eastAsia" w:ascii="黑体" w:hAnsi="黑体" w:eastAsia="黑体"/>
          <w:snapToGrid w:val="0"/>
          <w:color w:val="auto"/>
          <w:kern w:val="0"/>
          <w:sz w:val="36"/>
          <w:szCs w:val="36"/>
          <w:highlight w:val="none"/>
        </w:rPr>
      </w:pPr>
    </w:p>
    <w:p w14:paraId="71846DFF">
      <w:pPr>
        <w:spacing w:line="360" w:lineRule="auto"/>
        <w:jc w:val="center"/>
        <w:rPr>
          <w:rFonts w:hint="eastAsia" w:ascii="黑体" w:hAnsi="黑体" w:eastAsia="黑体"/>
          <w:snapToGrid w:val="0"/>
          <w:color w:val="auto"/>
          <w:kern w:val="0"/>
          <w:sz w:val="36"/>
          <w:szCs w:val="36"/>
          <w:highlight w:val="none"/>
        </w:rPr>
      </w:pPr>
    </w:p>
    <w:p w14:paraId="4243CDFE">
      <w:pPr>
        <w:spacing w:line="360" w:lineRule="auto"/>
        <w:jc w:val="center"/>
        <w:rPr>
          <w:rFonts w:hint="eastAsia" w:ascii="黑体" w:hAnsi="黑体" w:eastAsia="黑体"/>
          <w:snapToGrid w:val="0"/>
          <w:color w:val="auto"/>
          <w:kern w:val="0"/>
          <w:sz w:val="36"/>
          <w:szCs w:val="36"/>
          <w:highlight w:val="none"/>
        </w:rPr>
      </w:pPr>
    </w:p>
    <w:p w14:paraId="25E43CD4">
      <w:pPr>
        <w:spacing w:line="360" w:lineRule="auto"/>
        <w:jc w:val="center"/>
        <w:rPr>
          <w:rFonts w:hint="eastAsia" w:ascii="黑体" w:hAnsi="黑体" w:eastAsia="黑体"/>
          <w:snapToGrid w:val="0"/>
          <w:color w:val="auto"/>
          <w:kern w:val="0"/>
          <w:sz w:val="36"/>
          <w:szCs w:val="36"/>
          <w:highlight w:val="none"/>
        </w:rPr>
      </w:pPr>
    </w:p>
    <w:p w14:paraId="70C39157">
      <w:pPr>
        <w:spacing w:line="360" w:lineRule="auto"/>
        <w:jc w:val="center"/>
        <w:rPr>
          <w:rFonts w:hint="eastAsia" w:ascii="黑体" w:hAnsi="黑体" w:eastAsia="黑体"/>
          <w:snapToGrid w:val="0"/>
          <w:color w:val="auto"/>
          <w:kern w:val="0"/>
          <w:sz w:val="36"/>
          <w:szCs w:val="36"/>
          <w:highlight w:val="none"/>
        </w:rPr>
      </w:pPr>
    </w:p>
    <w:p w14:paraId="460C2E2A">
      <w:pPr>
        <w:spacing w:line="360" w:lineRule="auto"/>
        <w:jc w:val="center"/>
        <w:rPr>
          <w:rFonts w:hint="eastAsia" w:ascii="黑体" w:hAnsi="黑体" w:eastAsia="黑体"/>
          <w:snapToGrid w:val="0"/>
          <w:color w:val="auto"/>
          <w:kern w:val="0"/>
          <w:sz w:val="36"/>
          <w:szCs w:val="36"/>
          <w:highlight w:val="none"/>
        </w:rPr>
      </w:pPr>
    </w:p>
    <w:p w14:paraId="7F5C812E">
      <w:pPr>
        <w:spacing w:line="360" w:lineRule="auto"/>
        <w:jc w:val="center"/>
        <w:rPr>
          <w:rFonts w:hint="eastAsia" w:ascii="黑体" w:hAnsi="黑体" w:eastAsia="黑体"/>
          <w:snapToGrid w:val="0"/>
          <w:color w:val="auto"/>
          <w:kern w:val="0"/>
          <w:sz w:val="36"/>
          <w:szCs w:val="36"/>
          <w:highlight w:val="none"/>
        </w:rPr>
      </w:pPr>
    </w:p>
    <w:p w14:paraId="4F4903FB">
      <w:pPr>
        <w:spacing w:line="360" w:lineRule="auto"/>
        <w:jc w:val="center"/>
        <w:rPr>
          <w:rFonts w:hint="eastAsia" w:ascii="黑体" w:hAnsi="黑体" w:eastAsia="黑体"/>
          <w:snapToGrid w:val="0"/>
          <w:color w:val="auto"/>
          <w:kern w:val="0"/>
          <w:sz w:val="36"/>
          <w:szCs w:val="36"/>
          <w:highlight w:val="none"/>
        </w:rPr>
      </w:pPr>
    </w:p>
    <w:p w14:paraId="1FE834FA">
      <w:pPr>
        <w:spacing w:line="360" w:lineRule="auto"/>
        <w:jc w:val="center"/>
        <w:rPr>
          <w:rFonts w:hint="eastAsia" w:ascii="黑体" w:hAnsi="黑体" w:eastAsia="黑体"/>
          <w:snapToGrid w:val="0"/>
          <w:color w:val="auto"/>
          <w:kern w:val="0"/>
          <w:sz w:val="36"/>
          <w:szCs w:val="36"/>
          <w:highlight w:val="none"/>
        </w:rPr>
      </w:pPr>
    </w:p>
    <w:p w14:paraId="2AB78421">
      <w:pPr>
        <w:spacing w:line="360" w:lineRule="auto"/>
        <w:jc w:val="center"/>
        <w:rPr>
          <w:rFonts w:hint="eastAsia" w:ascii="黑体" w:hAnsi="黑体" w:eastAsia="黑体"/>
          <w:snapToGrid w:val="0"/>
          <w:color w:val="auto"/>
          <w:kern w:val="0"/>
          <w:sz w:val="36"/>
          <w:szCs w:val="36"/>
          <w:highlight w:val="none"/>
        </w:rPr>
      </w:pPr>
    </w:p>
    <w:p w14:paraId="03FE1AA2">
      <w:pPr>
        <w:spacing w:line="360" w:lineRule="auto"/>
        <w:jc w:val="center"/>
        <w:rPr>
          <w:rFonts w:hint="eastAsia" w:ascii="黑体" w:hAnsi="黑体" w:eastAsia="黑体"/>
          <w:snapToGrid w:val="0"/>
          <w:color w:val="auto"/>
          <w:kern w:val="0"/>
          <w:sz w:val="36"/>
          <w:szCs w:val="36"/>
          <w:highlight w:val="none"/>
        </w:rPr>
      </w:pPr>
    </w:p>
    <w:p w14:paraId="18CB5C79">
      <w:pPr>
        <w:spacing w:line="360" w:lineRule="auto"/>
        <w:jc w:val="center"/>
        <w:rPr>
          <w:rFonts w:hint="eastAsia" w:ascii="黑体" w:hAnsi="黑体" w:eastAsia="黑体"/>
          <w:snapToGrid w:val="0"/>
          <w:color w:val="auto"/>
          <w:kern w:val="0"/>
          <w:sz w:val="36"/>
          <w:szCs w:val="36"/>
          <w:highlight w:val="none"/>
        </w:rPr>
      </w:pPr>
    </w:p>
    <w:p w14:paraId="38A7D9F4">
      <w:pPr>
        <w:spacing w:line="360" w:lineRule="auto"/>
        <w:jc w:val="center"/>
        <w:rPr>
          <w:rFonts w:hint="eastAsia" w:ascii="黑体" w:hAnsi="黑体" w:eastAsia="黑体"/>
          <w:snapToGrid w:val="0"/>
          <w:color w:val="auto"/>
          <w:kern w:val="0"/>
          <w:sz w:val="28"/>
          <w:szCs w:val="28"/>
          <w:highlight w:val="none"/>
        </w:rPr>
      </w:pPr>
      <w:r>
        <w:rPr>
          <w:rFonts w:hint="eastAsia" w:ascii="黑体" w:hAnsi="黑体" w:eastAsia="黑体"/>
          <w:snapToGrid w:val="0"/>
          <w:color w:val="auto"/>
          <w:kern w:val="0"/>
          <w:sz w:val="36"/>
          <w:szCs w:val="36"/>
          <w:highlight w:val="none"/>
        </w:rPr>
        <w:t>第三部分  响应文件格式</w:t>
      </w:r>
    </w:p>
    <w:p w14:paraId="5C7D4BC3">
      <w:pPr>
        <w:spacing w:line="360" w:lineRule="auto"/>
        <w:jc w:val="center"/>
        <w:rPr>
          <w:rFonts w:hint="eastAsia" w:ascii="宋体" w:hAnsi="黑体"/>
          <w:snapToGrid w:val="0"/>
          <w:color w:val="auto"/>
          <w:kern w:val="0"/>
          <w:sz w:val="28"/>
          <w:szCs w:val="28"/>
          <w:highlight w:val="none"/>
        </w:rPr>
      </w:pPr>
    </w:p>
    <w:p w14:paraId="6522BFB2">
      <w:pP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（响应文件格式使用注意事项：响应文件编制时应使用的模板已在本部分列明，磋商文件要求提供但未提供模板的，格式自拟。）</w:t>
      </w:r>
    </w:p>
    <w:p w14:paraId="0A2F5E06">
      <w:pPr>
        <w:spacing w:line="360" w:lineRule="auto"/>
        <w:jc w:val="center"/>
        <w:rPr>
          <w:rFonts w:hint="eastAsia" w:ascii="宋体" w:hAnsi="黑体"/>
          <w:snapToGrid w:val="0"/>
          <w:color w:val="auto"/>
          <w:kern w:val="0"/>
          <w:sz w:val="28"/>
          <w:szCs w:val="28"/>
          <w:highlight w:val="none"/>
        </w:rPr>
      </w:pPr>
    </w:p>
    <w:p w14:paraId="787C9A17">
      <w:pPr>
        <w:spacing w:line="360" w:lineRule="auto"/>
        <w:jc w:val="center"/>
        <w:rPr>
          <w:rFonts w:hint="eastAsia" w:ascii="宋体" w:hAnsi="黑体"/>
          <w:snapToGrid w:val="0"/>
          <w:color w:val="auto"/>
          <w:kern w:val="0"/>
          <w:sz w:val="28"/>
          <w:szCs w:val="28"/>
          <w:highlight w:val="none"/>
        </w:rPr>
      </w:pPr>
    </w:p>
    <w:p w14:paraId="40ED978F">
      <w:pPr>
        <w:spacing w:line="360" w:lineRule="auto"/>
        <w:jc w:val="center"/>
        <w:rPr>
          <w:rFonts w:hint="eastAsia" w:ascii="宋体" w:hAnsi="黑体"/>
          <w:snapToGrid w:val="0"/>
          <w:color w:val="auto"/>
          <w:kern w:val="0"/>
          <w:sz w:val="28"/>
          <w:szCs w:val="28"/>
          <w:highlight w:val="none"/>
        </w:rPr>
      </w:pPr>
    </w:p>
    <w:p w14:paraId="3CB431A1">
      <w:pPr>
        <w:spacing w:line="360" w:lineRule="auto"/>
        <w:rPr>
          <w:rFonts w:hint="eastAsia" w:ascii="黑体" w:hAnsi="黑体" w:eastAsia="黑体"/>
          <w:snapToGrid w:val="0"/>
          <w:color w:val="auto"/>
          <w:kern w:val="0"/>
          <w:sz w:val="28"/>
          <w:szCs w:val="28"/>
          <w:highlight w:val="none"/>
        </w:rPr>
      </w:pPr>
    </w:p>
    <w:p w14:paraId="58F46144">
      <w:pPr>
        <w:spacing w:line="360" w:lineRule="auto"/>
        <w:jc w:val="center"/>
        <w:rPr>
          <w:rFonts w:eastAsia="黑体"/>
          <w:snapToGrid w:val="0"/>
          <w:color w:val="auto"/>
          <w:kern w:val="0"/>
          <w:sz w:val="44"/>
          <w:szCs w:val="44"/>
          <w:highlight w:val="none"/>
        </w:rPr>
      </w:pPr>
      <w:r>
        <w:rPr>
          <w:rFonts w:hint="eastAsia" w:eastAsia="黑体"/>
          <w:snapToGrid w:val="0"/>
          <w:color w:val="auto"/>
          <w:kern w:val="0"/>
          <w:sz w:val="44"/>
          <w:szCs w:val="44"/>
          <w:highlight w:val="none"/>
        </w:rPr>
        <w:t>响应</w:t>
      </w:r>
      <w:r>
        <w:rPr>
          <w:rFonts w:eastAsia="黑体"/>
          <w:snapToGrid w:val="0"/>
          <w:color w:val="auto"/>
          <w:kern w:val="0"/>
          <w:sz w:val="44"/>
          <w:szCs w:val="44"/>
          <w:highlight w:val="none"/>
        </w:rPr>
        <w:t>文件</w:t>
      </w:r>
    </w:p>
    <w:p w14:paraId="45555FBE">
      <w:pPr>
        <w:spacing w:line="360" w:lineRule="auto"/>
        <w:jc w:val="center"/>
        <w:rPr>
          <w:rFonts w:eastAsia="黑体"/>
          <w:snapToGrid w:val="0"/>
          <w:color w:val="auto"/>
          <w:kern w:val="0"/>
          <w:sz w:val="44"/>
          <w:szCs w:val="44"/>
          <w:highlight w:val="none"/>
        </w:rPr>
      </w:pPr>
    </w:p>
    <w:p w14:paraId="6E3ED0FC">
      <w:pPr>
        <w:spacing w:line="360" w:lineRule="auto"/>
        <w:jc w:val="center"/>
        <w:rPr>
          <w:rFonts w:eastAsia="黑体"/>
          <w:snapToGrid w:val="0"/>
          <w:color w:val="auto"/>
          <w:kern w:val="0"/>
          <w:sz w:val="44"/>
          <w:szCs w:val="44"/>
          <w:highlight w:val="none"/>
        </w:rPr>
      </w:pPr>
    </w:p>
    <w:p w14:paraId="2E619DDB">
      <w:pPr>
        <w:spacing w:line="360" w:lineRule="auto"/>
        <w:jc w:val="center"/>
        <w:rPr>
          <w:rFonts w:eastAsia="黑体"/>
          <w:snapToGrid w:val="0"/>
          <w:color w:val="auto"/>
          <w:kern w:val="0"/>
          <w:sz w:val="44"/>
          <w:szCs w:val="44"/>
          <w:highlight w:val="none"/>
        </w:rPr>
      </w:pPr>
    </w:p>
    <w:p w14:paraId="1FCE0ED7">
      <w:pPr>
        <w:spacing w:line="360" w:lineRule="auto"/>
        <w:jc w:val="center"/>
        <w:rPr>
          <w:rFonts w:eastAsia="黑体"/>
          <w:snapToGrid w:val="0"/>
          <w:color w:val="auto"/>
          <w:kern w:val="0"/>
          <w:sz w:val="44"/>
          <w:szCs w:val="44"/>
          <w:highlight w:val="none"/>
        </w:rPr>
      </w:pPr>
    </w:p>
    <w:p w14:paraId="2F9C3C89">
      <w:pPr>
        <w:spacing w:line="360" w:lineRule="auto"/>
        <w:jc w:val="center"/>
        <w:rPr>
          <w:rFonts w:eastAsia="黑体"/>
          <w:snapToGrid w:val="0"/>
          <w:color w:val="auto"/>
          <w:kern w:val="0"/>
          <w:sz w:val="44"/>
          <w:szCs w:val="44"/>
          <w:highlight w:val="none"/>
        </w:rPr>
      </w:pPr>
    </w:p>
    <w:p w14:paraId="1C1C10C2">
      <w:pPr>
        <w:spacing w:line="400" w:lineRule="exact"/>
        <w:ind w:firstLine="1084"/>
        <w:rPr>
          <w:rFonts w:hint="eastAsia" w:ascii="仿宋" w:hAnsi="仿宋" w:eastAsia="仿宋" w:cs="仿宋"/>
          <w:b/>
          <w:bCs/>
          <w:color w:val="auto"/>
          <w:sz w:val="28"/>
          <w:szCs w:val="28"/>
          <w:highlight w:val="none"/>
          <w:u w:val="single"/>
        </w:rPr>
      </w:pPr>
      <w:r>
        <w:rPr>
          <w:rFonts w:hint="eastAsia" w:ascii="仿宋" w:hAnsi="仿宋" w:eastAsia="仿宋" w:cs="仿宋"/>
          <w:b/>
          <w:color w:val="auto"/>
          <w:sz w:val="28"/>
          <w:szCs w:val="28"/>
          <w:highlight w:val="none"/>
        </w:rPr>
        <w:t>项 目 名 称：</w:t>
      </w:r>
      <w:r>
        <w:rPr>
          <w:rFonts w:hint="eastAsia" w:ascii="仿宋" w:hAnsi="仿宋" w:eastAsia="仿宋" w:cs="仿宋"/>
          <w:b/>
          <w:color w:val="auto"/>
          <w:sz w:val="28"/>
          <w:szCs w:val="28"/>
          <w:highlight w:val="none"/>
          <w:u w:val="single"/>
        </w:rPr>
        <w:t xml:space="preserve">                </w:t>
      </w:r>
    </w:p>
    <w:p w14:paraId="56001BE5">
      <w:pPr>
        <w:spacing w:line="400" w:lineRule="exact"/>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 xml:space="preserve">        </w:t>
      </w:r>
    </w:p>
    <w:p w14:paraId="7FF38D92">
      <w:pPr>
        <w:spacing w:line="400" w:lineRule="exact"/>
        <w:ind w:firstLine="1124" w:firstLineChars="400"/>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项 目 编 号：</w:t>
      </w:r>
      <w:r>
        <w:rPr>
          <w:rFonts w:hint="eastAsia" w:ascii="仿宋" w:hAnsi="仿宋" w:eastAsia="仿宋" w:cs="仿宋"/>
          <w:b/>
          <w:color w:val="auto"/>
          <w:sz w:val="28"/>
          <w:szCs w:val="28"/>
          <w:highlight w:val="none"/>
          <w:u w:val="single"/>
        </w:rPr>
        <w:t xml:space="preserve">                </w:t>
      </w:r>
    </w:p>
    <w:p w14:paraId="4171010E">
      <w:pPr>
        <w:spacing w:line="400" w:lineRule="exact"/>
        <w:ind w:firstLine="1124" w:firstLineChars="400"/>
        <w:rPr>
          <w:rFonts w:hint="eastAsia" w:ascii="仿宋" w:hAnsi="仿宋" w:eastAsia="仿宋" w:cs="仿宋"/>
          <w:b/>
          <w:color w:val="auto"/>
          <w:sz w:val="28"/>
          <w:szCs w:val="28"/>
          <w:highlight w:val="none"/>
        </w:rPr>
      </w:pPr>
    </w:p>
    <w:p w14:paraId="10CF4F6C">
      <w:pPr>
        <w:spacing w:line="400" w:lineRule="exact"/>
        <w:ind w:firstLine="1124" w:firstLineChars="400"/>
        <w:rPr>
          <w:rFonts w:hint="eastAsia" w:ascii="仿宋" w:hAnsi="仿宋" w:eastAsia="仿宋" w:cs="仿宋"/>
          <w:b/>
          <w:color w:val="auto"/>
          <w:sz w:val="28"/>
          <w:szCs w:val="28"/>
          <w:highlight w:val="none"/>
          <w:u w:val="single"/>
        </w:rPr>
      </w:pPr>
      <w:r>
        <w:rPr>
          <w:rFonts w:hint="eastAsia" w:ascii="仿宋" w:hAnsi="仿宋" w:eastAsia="仿宋" w:cs="仿宋"/>
          <w:b/>
          <w:color w:val="auto"/>
          <w:sz w:val="28"/>
          <w:szCs w:val="28"/>
          <w:highlight w:val="none"/>
        </w:rPr>
        <w:t>银 行 名 称 ：</w:t>
      </w:r>
      <w:r>
        <w:rPr>
          <w:rFonts w:hint="eastAsia" w:ascii="仿宋" w:hAnsi="仿宋" w:eastAsia="仿宋" w:cs="仿宋"/>
          <w:b/>
          <w:color w:val="auto"/>
          <w:sz w:val="28"/>
          <w:szCs w:val="28"/>
          <w:highlight w:val="none"/>
          <w:u w:val="single"/>
        </w:rPr>
        <w:t xml:space="preserve">   （盖公章）  </w:t>
      </w:r>
      <w:r>
        <w:rPr>
          <w:rFonts w:hint="eastAsia" w:ascii="仿宋" w:hAnsi="仿宋" w:eastAsia="仿宋" w:cs="仿宋"/>
          <w:b/>
          <w:color w:val="auto"/>
          <w:sz w:val="28"/>
          <w:szCs w:val="28"/>
          <w:highlight w:val="none"/>
        </w:rPr>
        <w:t xml:space="preserve">             </w:t>
      </w:r>
    </w:p>
    <w:p w14:paraId="5C50E527">
      <w:pPr>
        <w:spacing w:line="400" w:lineRule="exact"/>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 xml:space="preserve">       </w:t>
      </w:r>
    </w:p>
    <w:p w14:paraId="2914D1E0">
      <w:pPr>
        <w:spacing w:line="400" w:lineRule="exact"/>
        <w:ind w:firstLine="1124" w:firstLineChars="400"/>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日      期 ：</w:t>
      </w:r>
      <w:r>
        <w:rPr>
          <w:rFonts w:hint="eastAsia" w:ascii="仿宋" w:hAnsi="仿宋" w:eastAsia="仿宋" w:cs="仿宋"/>
          <w:b/>
          <w:color w:val="auto"/>
          <w:sz w:val="28"/>
          <w:szCs w:val="28"/>
          <w:highlight w:val="none"/>
          <w:u w:val="single"/>
        </w:rPr>
        <w:t xml:space="preserve">                </w:t>
      </w:r>
    </w:p>
    <w:p w14:paraId="21A97E79">
      <w:pPr>
        <w:jc w:val="center"/>
        <w:rPr>
          <w:rFonts w:hint="eastAsia" w:ascii="宋体" w:hAnsi="宋体" w:cs="宋体"/>
          <w:b/>
          <w:bCs/>
          <w:color w:val="auto"/>
          <w:sz w:val="36"/>
          <w:szCs w:val="36"/>
          <w:highlight w:val="none"/>
          <w:lang w:val="zh-CN"/>
        </w:rPr>
      </w:pPr>
    </w:p>
    <w:p w14:paraId="72889DFB">
      <w:pPr>
        <w:pStyle w:val="68"/>
        <w:ind w:left="420" w:leftChars="200"/>
        <w:jc w:val="center"/>
        <w:rPr>
          <w:rFonts w:hint="eastAsia" w:ascii="黑体" w:hAnsi="黑体" w:eastAsia="黑体" w:cs="黑体"/>
          <w:b/>
          <w:bCs/>
          <w:color w:val="auto"/>
          <w:sz w:val="48"/>
          <w:szCs w:val="48"/>
          <w:highlight w:val="none"/>
        </w:rPr>
      </w:pPr>
    </w:p>
    <w:p w14:paraId="26FFAC19">
      <w:pPr>
        <w:pStyle w:val="68"/>
        <w:ind w:left="420" w:leftChars="200"/>
        <w:jc w:val="center"/>
        <w:rPr>
          <w:rFonts w:hint="eastAsia" w:ascii="黑体" w:hAnsi="黑体" w:eastAsia="黑体" w:cs="黑体"/>
          <w:b/>
          <w:bCs/>
          <w:color w:val="auto"/>
          <w:sz w:val="48"/>
          <w:szCs w:val="48"/>
          <w:highlight w:val="none"/>
        </w:rPr>
      </w:pPr>
    </w:p>
    <w:p w14:paraId="7E8FDBBC">
      <w:pPr>
        <w:pStyle w:val="68"/>
        <w:ind w:left="420" w:leftChars="200"/>
        <w:jc w:val="center"/>
        <w:rPr>
          <w:rFonts w:hint="eastAsia" w:ascii="黑体" w:hAnsi="黑体" w:eastAsia="黑体" w:cs="黑体"/>
          <w:b/>
          <w:bCs/>
          <w:color w:val="auto"/>
          <w:sz w:val="48"/>
          <w:szCs w:val="48"/>
          <w:highlight w:val="none"/>
        </w:rPr>
      </w:pPr>
      <w:r>
        <w:rPr>
          <w:rFonts w:hint="eastAsia" w:ascii="黑体" w:hAnsi="黑体" w:eastAsia="黑体" w:cs="黑体"/>
          <w:b/>
          <w:bCs/>
          <w:color w:val="auto"/>
          <w:sz w:val="48"/>
          <w:szCs w:val="48"/>
          <w:highlight w:val="none"/>
        </w:rPr>
        <w:t>目录</w:t>
      </w:r>
    </w:p>
    <w:p w14:paraId="073AE620">
      <w:pPr>
        <w:rPr>
          <w:rFonts w:hint="eastAsia" w:ascii="宋体" w:hAnsi="宋体" w:cs="宋体"/>
          <w:color w:val="auto"/>
          <w:highlight w:val="none"/>
        </w:rPr>
      </w:pPr>
      <w:r>
        <w:rPr>
          <w:rFonts w:hint="eastAsia" w:ascii="宋体" w:hAnsi="宋体" w:cs="宋体"/>
          <w:color w:val="auto"/>
          <w:highlight w:val="none"/>
        </w:rPr>
        <w:t>请根据文件自行编制目录</w:t>
      </w:r>
    </w:p>
    <w:p w14:paraId="256C8D98">
      <w:pPr>
        <w:rPr>
          <w:rFonts w:hint="eastAsia" w:ascii="宋体" w:hAnsi="宋体"/>
          <w:color w:val="auto"/>
          <w:highlight w:val="none"/>
        </w:rPr>
      </w:pPr>
    </w:p>
    <w:p w14:paraId="4B10CBE5">
      <w:pPr>
        <w:rPr>
          <w:rFonts w:hint="eastAsia" w:ascii="宋体" w:hAnsi="宋体"/>
          <w:color w:val="auto"/>
          <w:highlight w:val="none"/>
        </w:rPr>
      </w:pPr>
    </w:p>
    <w:p w14:paraId="0C131669">
      <w:pPr>
        <w:pStyle w:val="4"/>
        <w:numPr>
          <w:ilvl w:val="0"/>
          <w:numId w:val="0"/>
        </w:numPr>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一、资格审查证明材料</w:t>
      </w:r>
    </w:p>
    <w:p w14:paraId="0AB4F93A">
      <w:pPr>
        <w:spacing w:line="360" w:lineRule="auto"/>
        <w:ind w:firstLine="420" w:firstLineChars="200"/>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1、在中华人民共和国境内依法设立，且已在本医院开户的银行。</w:t>
      </w:r>
      <w:r>
        <w:rPr>
          <w:rFonts w:hint="eastAsia" w:ascii="宋体" w:hAnsi="宋体" w:cs="宋体"/>
          <w:color w:val="auto"/>
          <w:szCs w:val="21"/>
          <w:highlight w:val="none"/>
          <w:lang w:eastAsia="zh-CN"/>
        </w:rPr>
        <w:t>（</w:t>
      </w:r>
      <w:r>
        <w:rPr>
          <w:rFonts w:hint="eastAsia" w:hAnsi="宋体"/>
          <w:color w:val="auto"/>
          <w:kern w:val="2"/>
          <w:sz w:val="21"/>
          <w:szCs w:val="21"/>
          <w:highlight w:val="none"/>
        </w:rPr>
        <w:t>提供银行营业执照</w:t>
      </w:r>
      <w:r>
        <w:rPr>
          <w:rFonts w:hint="eastAsia" w:hAnsi="宋体"/>
          <w:color w:val="auto"/>
          <w:kern w:val="2"/>
          <w:sz w:val="21"/>
          <w:szCs w:val="21"/>
          <w:highlight w:val="none"/>
          <w:lang w:val="en-US" w:eastAsia="zh-CN"/>
        </w:rPr>
        <w:t>以</w:t>
      </w:r>
      <w:r>
        <w:rPr>
          <w:rFonts w:hint="eastAsia" w:hAnsi="宋体"/>
          <w:color w:val="auto"/>
          <w:kern w:val="2"/>
          <w:sz w:val="21"/>
          <w:szCs w:val="21"/>
          <w:highlight w:val="none"/>
        </w:rPr>
        <w:t>及已在本院开户的证明材料</w:t>
      </w:r>
      <w:r>
        <w:rPr>
          <w:rFonts w:hint="eastAsia" w:ascii="宋体" w:hAnsi="宋体" w:cs="宋体"/>
          <w:color w:val="auto"/>
          <w:szCs w:val="21"/>
          <w:highlight w:val="none"/>
          <w:lang w:eastAsia="zh-CN"/>
        </w:rPr>
        <w:t>）</w:t>
      </w:r>
    </w:p>
    <w:p w14:paraId="0AC047B4">
      <w:pPr>
        <w:pStyle w:val="4"/>
        <w:numPr>
          <w:ilvl w:val="0"/>
          <w:numId w:val="0"/>
        </w:numPr>
        <w:jc w:val="center"/>
        <w:rPr>
          <w:rFonts w:hint="eastAsia" w:ascii="宋体" w:hAnsi="宋体" w:eastAsia="宋体"/>
          <w:color w:val="auto"/>
          <w:sz w:val="24"/>
          <w:szCs w:val="24"/>
          <w:highlight w:val="none"/>
        </w:rPr>
      </w:pPr>
    </w:p>
    <w:p w14:paraId="52FFFD53">
      <w:pPr>
        <w:pStyle w:val="4"/>
        <w:numPr>
          <w:ilvl w:val="0"/>
          <w:numId w:val="0"/>
        </w:numPr>
        <w:jc w:val="center"/>
        <w:rPr>
          <w:rFonts w:hint="eastAsia" w:ascii="宋体" w:hAnsi="宋体" w:eastAsia="宋体"/>
          <w:color w:val="auto"/>
          <w:sz w:val="24"/>
          <w:szCs w:val="24"/>
          <w:highlight w:val="none"/>
        </w:rPr>
      </w:pPr>
    </w:p>
    <w:p w14:paraId="0C43F99B">
      <w:pPr>
        <w:pStyle w:val="4"/>
        <w:numPr>
          <w:ilvl w:val="0"/>
          <w:numId w:val="0"/>
        </w:numPr>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二、符合性审查</w:t>
      </w:r>
    </w:p>
    <w:p w14:paraId="5D6E09EB">
      <w:pPr>
        <w:spacing w:before="156" w:beforeLines="50" w:after="156" w:afterLines="50" w:line="400" w:lineRule="exact"/>
        <w:jc w:val="left"/>
        <w:rPr>
          <w:rFonts w:hint="eastAsia" w:ascii="宋体" w:hAnsi="宋体" w:cs="宋体"/>
          <w:b/>
          <w:color w:val="auto"/>
          <w:szCs w:val="21"/>
          <w:highlight w:val="none"/>
        </w:rPr>
      </w:pPr>
      <w:r>
        <w:rPr>
          <w:rFonts w:hint="eastAsia" w:ascii="宋体" w:hAnsi="宋体" w:cs="宋体"/>
          <w:b/>
          <w:color w:val="auto"/>
          <w:szCs w:val="21"/>
          <w:highlight w:val="none"/>
        </w:rPr>
        <w:t>（一）响应函格式：</w:t>
      </w:r>
    </w:p>
    <w:p w14:paraId="0DFBBA65">
      <w:pPr>
        <w:spacing w:line="400" w:lineRule="exact"/>
        <w:rPr>
          <w:rFonts w:hint="eastAsia" w:ascii="宋体" w:hAnsi="宋体" w:cs="宋体"/>
          <w:color w:val="auto"/>
          <w:szCs w:val="21"/>
          <w:highlight w:val="none"/>
          <w:lang w:val="zh-CN"/>
        </w:rPr>
      </w:pPr>
      <w:r>
        <w:rPr>
          <w:rFonts w:hint="eastAsia" w:ascii="宋体" w:hAnsi="宋体" w:cs="宋体"/>
          <w:color w:val="auto"/>
          <w:szCs w:val="21"/>
          <w:highlight w:val="none"/>
        </w:rPr>
        <w:t>南京市溧水区人民医院</w:t>
      </w:r>
      <w:r>
        <w:rPr>
          <w:rFonts w:hint="eastAsia" w:ascii="宋体" w:hAnsi="宋体" w:cs="宋体"/>
          <w:color w:val="auto"/>
          <w:szCs w:val="21"/>
          <w:highlight w:val="none"/>
          <w:lang w:val="zh-CN"/>
        </w:rPr>
        <w:t>：</w:t>
      </w:r>
    </w:p>
    <w:p w14:paraId="2DD5A4E1">
      <w:pPr>
        <w:snapToGrid w:val="0"/>
        <w:spacing w:line="400" w:lineRule="exact"/>
        <w:ind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lang w:val="zh-CN"/>
        </w:rPr>
        <w:t>根据贵方“南京市溧水区人民医院2026年第二批银行贷款项目</w:t>
      </w:r>
      <w:r>
        <w:rPr>
          <w:rFonts w:hint="eastAsia" w:ascii="宋体" w:hAnsi="宋体" w:cs="宋体"/>
          <w:color w:val="auto"/>
          <w:szCs w:val="21"/>
          <w:highlight w:val="none"/>
        </w:rPr>
        <w:t>”磋商</w:t>
      </w:r>
      <w:r>
        <w:rPr>
          <w:rFonts w:hint="eastAsia" w:ascii="宋体" w:hAnsi="宋体" w:cs="宋体"/>
          <w:color w:val="auto"/>
          <w:szCs w:val="21"/>
          <w:highlight w:val="none"/>
          <w:lang w:val="zh-CN"/>
        </w:rPr>
        <w:t>邀请，正式授权______________（姓名和职务）代表______________（银行名称）提交响应文件并参加磋商。</w:t>
      </w:r>
    </w:p>
    <w:p w14:paraId="681D879B">
      <w:pPr>
        <w:snapToGrid w:val="0"/>
        <w:spacing w:line="400" w:lineRule="exact"/>
        <w:ind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lang w:val="zh-CN"/>
        </w:rPr>
        <w:t>据此函，兹宣布同意如下：</w:t>
      </w:r>
    </w:p>
    <w:p w14:paraId="0B77AF61">
      <w:pPr>
        <w:spacing w:line="400" w:lineRule="exact"/>
        <w:ind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lang w:val="zh-CN"/>
        </w:rPr>
        <w:t>1</w:t>
      </w:r>
      <w:r>
        <w:rPr>
          <w:rFonts w:hint="eastAsia" w:ascii="宋体" w:hAnsi="宋体" w:cs="宋体"/>
          <w:color w:val="auto"/>
          <w:szCs w:val="21"/>
          <w:highlight w:val="none"/>
          <w:lang w:val="en-US" w:eastAsia="zh-CN"/>
        </w:rPr>
        <w:t>.</w:t>
      </w:r>
      <w:r>
        <w:rPr>
          <w:rFonts w:hint="eastAsia" w:ascii="宋体" w:hAnsi="宋体" w:cs="宋体"/>
          <w:color w:val="auto"/>
          <w:szCs w:val="21"/>
          <w:highlight w:val="none"/>
          <w:lang w:val="zh-CN"/>
        </w:rPr>
        <w:t>我方承诺资质条件完全符合磋商资质要求，同意向贵方提供本次磋商要求的所有资料，并保证所提供资料真实可靠。</w:t>
      </w:r>
    </w:p>
    <w:p w14:paraId="4BDCC63E">
      <w:pPr>
        <w:spacing w:line="400" w:lineRule="exact"/>
        <w:ind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lang w:val="zh-CN"/>
        </w:rPr>
        <w:t>2</w:t>
      </w:r>
      <w:r>
        <w:rPr>
          <w:rFonts w:hint="eastAsia" w:ascii="宋体" w:hAnsi="宋体" w:cs="宋体"/>
          <w:color w:val="auto"/>
          <w:szCs w:val="21"/>
          <w:highlight w:val="none"/>
          <w:lang w:val="en-US" w:eastAsia="zh-CN"/>
        </w:rPr>
        <w:t>.</w:t>
      </w:r>
      <w:r>
        <w:rPr>
          <w:rFonts w:hint="eastAsia" w:ascii="宋体" w:hAnsi="宋体" w:cs="宋体"/>
          <w:color w:val="auto"/>
          <w:szCs w:val="21"/>
          <w:highlight w:val="none"/>
          <w:lang w:val="zh-CN"/>
        </w:rPr>
        <w:t>我方已详细阅读全部磋商文件，我方已完全理解磋商文件并同意放弃提出对磋商文件误解的权利。</w:t>
      </w:r>
    </w:p>
    <w:p w14:paraId="61ABA328">
      <w:pPr>
        <w:spacing w:line="400" w:lineRule="exact"/>
        <w:ind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lang w:val="zh-CN"/>
        </w:rPr>
        <w:t>3</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我方决不提供虚假材料谋取成交、决不采取不正当手段诋毁、排挤其他商业银行、决不恶意串通、决不进行商业贿赂、决不拒绝有关部门监督检查，如有违反，无条件接受相关管理部门的处罚。</w:t>
      </w:r>
    </w:p>
    <w:p w14:paraId="2D47DFC6">
      <w:pPr>
        <w:spacing w:line="400" w:lineRule="exact"/>
        <w:ind w:firstLine="420" w:firstLineChars="20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4.</w:t>
      </w:r>
      <w:r>
        <w:rPr>
          <w:rFonts w:hint="eastAsia" w:ascii="宋体" w:hAnsi="宋体"/>
          <w:snapToGrid w:val="0"/>
          <w:color w:val="auto"/>
          <w:kern w:val="0"/>
          <w:szCs w:val="21"/>
          <w:highlight w:val="none"/>
        </w:rPr>
        <w:t>我方同意从规定的磋商日期起遵循本响应文件，并在规定的响应有效期期满之前均具有约束力</w:t>
      </w:r>
      <w:r>
        <w:rPr>
          <w:rFonts w:hint="eastAsia" w:ascii="宋体" w:hAnsi="宋体"/>
          <w:snapToGrid w:val="0"/>
          <w:color w:val="auto"/>
          <w:kern w:val="0"/>
          <w:szCs w:val="21"/>
          <w:highlight w:val="none"/>
          <w:lang w:eastAsia="zh-CN"/>
        </w:rPr>
        <w:t>。</w:t>
      </w:r>
    </w:p>
    <w:p w14:paraId="46F38513">
      <w:pPr>
        <w:spacing w:line="400" w:lineRule="exact"/>
        <w:ind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lang w:val="zh-CN"/>
        </w:rPr>
        <w:t>我方正式通信方式为：</w:t>
      </w:r>
    </w:p>
    <w:p w14:paraId="5E754F9C">
      <w:pPr>
        <w:spacing w:line="400" w:lineRule="exact"/>
        <w:ind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lang w:val="zh-CN"/>
        </w:rPr>
        <w:t>通信地址：________________________邮政编码：________</w:t>
      </w:r>
    </w:p>
    <w:p w14:paraId="1996857A">
      <w:pPr>
        <w:spacing w:line="400" w:lineRule="exact"/>
        <w:ind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lang w:val="zh-CN"/>
        </w:rPr>
        <w:t>电话：_________________    传真：___________________</w:t>
      </w:r>
    </w:p>
    <w:p w14:paraId="4D7D76A8">
      <w:pPr>
        <w:spacing w:line="400" w:lineRule="exact"/>
        <w:ind w:firstLine="3150" w:firstLineChars="1500"/>
        <w:jc w:val="right"/>
        <w:rPr>
          <w:rFonts w:hint="eastAsia" w:ascii="宋体" w:hAnsi="宋体" w:cs="宋体"/>
          <w:color w:val="auto"/>
          <w:szCs w:val="21"/>
          <w:highlight w:val="none"/>
        </w:rPr>
      </w:pPr>
    </w:p>
    <w:p w14:paraId="27055BC7">
      <w:pPr>
        <w:spacing w:line="400" w:lineRule="exact"/>
        <w:ind w:firstLine="420" w:firstLineChars="200"/>
        <w:jc w:val="right"/>
        <w:rPr>
          <w:rFonts w:hint="eastAsia" w:ascii="宋体" w:hAnsi="宋体" w:cs="宋体"/>
          <w:color w:val="auto"/>
          <w:szCs w:val="21"/>
          <w:highlight w:val="none"/>
          <w:lang w:val="en-US" w:eastAsia="zh-CN"/>
        </w:rPr>
      </w:pPr>
    </w:p>
    <w:p w14:paraId="73258645">
      <w:pPr>
        <w:spacing w:line="400" w:lineRule="exact"/>
        <w:ind w:firstLine="420" w:firstLineChars="200"/>
        <w:jc w:val="righ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银行被授权人（授权代理人签字）：</w:t>
      </w:r>
    </w:p>
    <w:p w14:paraId="6F18338C">
      <w:pPr>
        <w:spacing w:line="400" w:lineRule="exact"/>
        <w:ind w:firstLine="420" w:firstLineChars="200"/>
        <w:jc w:val="right"/>
        <w:rPr>
          <w:rFonts w:hint="eastAsia" w:ascii="宋体" w:hAnsi="宋体" w:cs="宋体"/>
          <w:color w:val="auto"/>
          <w:szCs w:val="21"/>
          <w:highlight w:val="none"/>
        </w:rPr>
      </w:pPr>
      <w:r>
        <w:rPr>
          <w:rFonts w:hint="eastAsia" w:ascii="宋体" w:hAnsi="宋体" w:cs="宋体"/>
          <w:color w:val="auto"/>
          <w:szCs w:val="21"/>
          <w:highlight w:val="none"/>
        </w:rPr>
        <w:t>银行名称（公章）：</w:t>
      </w:r>
    </w:p>
    <w:p w14:paraId="23EE884A">
      <w:pPr>
        <w:wordWrap w:val="0"/>
        <w:spacing w:line="400" w:lineRule="exact"/>
        <w:ind w:firstLine="420" w:firstLineChars="200"/>
        <w:jc w:val="right"/>
        <w:rPr>
          <w:rFonts w:hint="eastAsia" w:ascii="宋体" w:hAnsi="宋体" w:cs="宋体"/>
          <w:color w:val="auto"/>
          <w:szCs w:val="21"/>
          <w:highlight w:val="none"/>
        </w:rPr>
      </w:pPr>
    </w:p>
    <w:p w14:paraId="428FC343">
      <w:pPr>
        <w:wordWrap w:val="0"/>
        <w:spacing w:line="400" w:lineRule="exact"/>
        <w:ind w:firstLine="420" w:firstLineChars="200"/>
        <w:jc w:val="right"/>
        <w:rPr>
          <w:rFonts w:hint="eastAsia" w:ascii="宋体" w:hAnsi="宋体" w:cs="宋体"/>
          <w:color w:val="auto"/>
          <w:szCs w:val="21"/>
          <w:highlight w:val="none"/>
        </w:rPr>
      </w:pPr>
      <w:r>
        <w:rPr>
          <w:rFonts w:hint="eastAsia" w:ascii="宋体" w:hAnsi="宋体" w:cs="宋体"/>
          <w:color w:val="auto"/>
          <w:szCs w:val="21"/>
          <w:highlight w:val="none"/>
        </w:rPr>
        <w:t>2026年  月  日</w:t>
      </w:r>
    </w:p>
    <w:p w14:paraId="7A9E1A3F">
      <w:pPr>
        <w:spacing w:before="156" w:beforeLines="50" w:after="156" w:afterLines="50" w:line="400" w:lineRule="exact"/>
        <w:jc w:val="left"/>
        <w:rPr>
          <w:rFonts w:hint="eastAsia" w:ascii="宋体" w:hAnsi="宋体" w:cs="宋体"/>
          <w:b/>
          <w:color w:val="auto"/>
          <w:szCs w:val="21"/>
          <w:highlight w:val="none"/>
        </w:rPr>
      </w:pPr>
      <w:r>
        <w:rPr>
          <w:rFonts w:hint="eastAsia" w:ascii="宋体" w:hAnsi="宋体" w:cs="宋体"/>
          <w:b/>
          <w:color w:val="auto"/>
          <w:szCs w:val="21"/>
          <w:highlight w:val="none"/>
        </w:rPr>
        <w:t>（二）授权委托书：</w:t>
      </w:r>
    </w:p>
    <w:p w14:paraId="4D848659">
      <w:pPr>
        <w:spacing w:line="400" w:lineRule="exact"/>
        <w:rPr>
          <w:rFonts w:hint="eastAsia" w:ascii="宋体" w:hAnsi="宋体" w:cs="宋体"/>
          <w:color w:val="auto"/>
          <w:szCs w:val="21"/>
          <w:highlight w:val="none"/>
          <w:lang w:val="zh-CN"/>
        </w:rPr>
      </w:pPr>
      <w:r>
        <w:rPr>
          <w:rFonts w:hint="eastAsia" w:ascii="宋体" w:hAnsi="宋体" w:cs="宋体"/>
          <w:color w:val="auto"/>
          <w:szCs w:val="21"/>
          <w:highlight w:val="none"/>
        </w:rPr>
        <w:t>南京市溧水区人民医院：</w:t>
      </w:r>
    </w:p>
    <w:p w14:paraId="365F71A1">
      <w:pPr>
        <w:spacing w:line="400" w:lineRule="exact"/>
        <w:ind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lang w:val="zh-CN"/>
        </w:rPr>
        <w:t>现授权</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lang w:val="zh-CN"/>
        </w:rPr>
        <w:t>同志为我单位的合法代理人，代表本单位参加贵方组织的“</w:t>
      </w:r>
      <w:r>
        <w:rPr>
          <w:rFonts w:hint="eastAsia" w:ascii="宋体" w:hAnsi="宋体" w:cs="宋体"/>
          <w:color w:val="auto"/>
          <w:szCs w:val="21"/>
          <w:highlight w:val="none"/>
          <w:lang w:eastAsia="zh-CN"/>
        </w:rPr>
        <w:t>南京市溧水区人民医院2026年第二批银行贷款项目</w:t>
      </w:r>
      <w:r>
        <w:rPr>
          <w:rFonts w:hint="eastAsia" w:ascii="宋体" w:hAnsi="宋体" w:cs="宋体"/>
          <w:color w:val="auto"/>
          <w:szCs w:val="21"/>
          <w:highlight w:val="none"/>
        </w:rPr>
        <w:t>”磋商</w:t>
      </w:r>
      <w:r>
        <w:rPr>
          <w:rFonts w:hint="eastAsia" w:ascii="宋体" w:hAnsi="宋体" w:cs="宋体"/>
          <w:color w:val="auto"/>
          <w:szCs w:val="21"/>
          <w:highlight w:val="none"/>
          <w:lang w:val="zh-CN"/>
        </w:rPr>
        <w:t>活动，由此产生的法律后果均由我单位承担。</w:t>
      </w:r>
    </w:p>
    <w:p w14:paraId="6E7FB6CF">
      <w:pPr>
        <w:spacing w:line="400" w:lineRule="exact"/>
        <w:ind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lang w:val="zh-CN"/>
        </w:rPr>
        <w:t>本授权书于授权人签字后生效，有效期至</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lang w:val="zh-CN"/>
        </w:rPr>
        <w:t>年</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lang w:val="zh-CN"/>
        </w:rPr>
        <w:t>月</w:t>
      </w:r>
      <w:r>
        <w:rPr>
          <w:rFonts w:hint="eastAsia" w:ascii="宋体" w:hAnsi="宋体" w:cs="宋体"/>
          <w:color w:val="auto"/>
          <w:szCs w:val="21"/>
          <w:highlight w:val="none"/>
          <w:u w:val="single"/>
          <w:lang w:val="zh-CN"/>
        </w:rPr>
        <w:t xml:space="preserve">     </w:t>
      </w:r>
      <w:r>
        <w:rPr>
          <w:rFonts w:hint="eastAsia" w:ascii="宋体" w:hAnsi="宋体" w:cs="宋体"/>
          <w:color w:val="auto"/>
          <w:szCs w:val="21"/>
          <w:highlight w:val="none"/>
          <w:lang w:val="zh-CN"/>
        </w:rPr>
        <w:t>日，特此声明。</w:t>
      </w:r>
    </w:p>
    <w:p w14:paraId="798E1C23">
      <w:pPr>
        <w:spacing w:line="400" w:lineRule="exact"/>
        <w:ind w:firstLine="3150" w:firstLineChars="1500"/>
        <w:jc w:val="right"/>
        <w:rPr>
          <w:rFonts w:hint="eastAsia" w:ascii="宋体" w:hAnsi="宋体" w:cs="宋体"/>
          <w:color w:val="auto"/>
          <w:szCs w:val="21"/>
          <w:highlight w:val="none"/>
        </w:rPr>
      </w:pPr>
    </w:p>
    <w:p w14:paraId="5FA233DA">
      <w:pPr>
        <w:spacing w:line="400" w:lineRule="exact"/>
        <w:ind w:firstLine="3150" w:firstLineChars="1500"/>
        <w:jc w:val="right"/>
        <w:rPr>
          <w:rFonts w:hint="eastAsia" w:ascii="宋体" w:hAnsi="宋体" w:cs="宋体"/>
          <w:color w:val="auto"/>
          <w:szCs w:val="21"/>
          <w:highlight w:val="none"/>
        </w:rPr>
      </w:pPr>
      <w:r>
        <w:rPr>
          <w:rFonts w:hint="eastAsia" w:ascii="宋体" w:hAnsi="宋体" w:cs="宋体"/>
          <w:color w:val="auto"/>
          <w:szCs w:val="21"/>
          <w:highlight w:val="none"/>
        </w:rPr>
        <w:t xml:space="preserve"> 银行授权</w:t>
      </w:r>
      <w:r>
        <w:rPr>
          <w:rFonts w:hint="eastAsia" w:ascii="宋体" w:hAnsi="宋体" w:cs="宋体"/>
          <w:color w:val="auto"/>
          <w:szCs w:val="21"/>
          <w:highlight w:val="none"/>
          <w:lang w:val="en-US" w:eastAsia="zh-CN"/>
        </w:rPr>
        <w:t>人</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行长</w:t>
      </w:r>
      <w:r>
        <w:rPr>
          <w:rFonts w:hint="eastAsia" w:ascii="宋体" w:hAnsi="宋体" w:cs="宋体"/>
          <w:color w:val="auto"/>
          <w:szCs w:val="21"/>
          <w:highlight w:val="none"/>
        </w:rPr>
        <w:t>签字</w:t>
      </w:r>
      <w:r>
        <w:rPr>
          <w:rFonts w:hint="eastAsia" w:ascii="宋体" w:hAnsi="宋体" w:cs="宋体"/>
          <w:color w:val="auto"/>
          <w:szCs w:val="21"/>
          <w:highlight w:val="none"/>
          <w:lang w:eastAsia="zh-CN"/>
        </w:rPr>
        <w:t>）</w:t>
      </w:r>
      <w:r>
        <w:rPr>
          <w:rFonts w:hint="eastAsia" w:ascii="宋体" w:hAnsi="宋体" w:cs="宋体"/>
          <w:color w:val="auto"/>
          <w:szCs w:val="21"/>
          <w:highlight w:val="none"/>
        </w:rPr>
        <w:t>：</w:t>
      </w:r>
    </w:p>
    <w:p w14:paraId="288EB3C4">
      <w:pPr>
        <w:spacing w:line="400" w:lineRule="exact"/>
        <w:ind w:firstLine="420" w:firstLineChars="200"/>
        <w:jc w:val="right"/>
        <w:rPr>
          <w:rFonts w:hint="eastAsia" w:ascii="宋体" w:hAnsi="宋体" w:cs="宋体"/>
          <w:color w:val="auto"/>
          <w:szCs w:val="21"/>
          <w:highlight w:val="none"/>
        </w:rPr>
      </w:pPr>
    </w:p>
    <w:p w14:paraId="00D18DD7">
      <w:pPr>
        <w:spacing w:line="400" w:lineRule="exact"/>
        <w:ind w:firstLine="420" w:firstLineChars="200"/>
        <w:jc w:val="right"/>
        <w:rPr>
          <w:rFonts w:hint="eastAsia" w:ascii="宋体" w:hAnsi="宋体" w:cs="宋体"/>
          <w:color w:val="auto"/>
          <w:szCs w:val="21"/>
          <w:highlight w:val="none"/>
        </w:rPr>
      </w:pPr>
      <w:r>
        <w:rPr>
          <w:rFonts w:hint="eastAsia" w:ascii="宋体" w:hAnsi="宋体" w:cs="宋体"/>
          <w:color w:val="auto"/>
          <w:szCs w:val="21"/>
          <w:highlight w:val="none"/>
        </w:rPr>
        <w:t>银行名称（公章）：</w:t>
      </w:r>
    </w:p>
    <w:p w14:paraId="2DCE2037">
      <w:pPr>
        <w:wordWrap w:val="0"/>
        <w:spacing w:line="400" w:lineRule="exact"/>
        <w:ind w:firstLine="420" w:firstLineChars="200"/>
        <w:jc w:val="right"/>
        <w:rPr>
          <w:rFonts w:hint="eastAsia" w:ascii="宋体" w:hAnsi="宋体" w:cs="宋体"/>
          <w:color w:val="auto"/>
          <w:szCs w:val="21"/>
          <w:highlight w:val="none"/>
        </w:rPr>
      </w:pPr>
    </w:p>
    <w:p w14:paraId="78CAFA97">
      <w:pPr>
        <w:wordWrap w:val="0"/>
        <w:spacing w:line="400" w:lineRule="exact"/>
        <w:ind w:firstLine="420" w:firstLineChars="200"/>
        <w:jc w:val="right"/>
        <w:rPr>
          <w:rFonts w:hint="eastAsia" w:ascii="宋体" w:hAnsi="宋体" w:cs="宋体"/>
          <w:color w:val="auto"/>
          <w:szCs w:val="21"/>
          <w:highlight w:val="none"/>
        </w:rPr>
      </w:pPr>
      <w:r>
        <w:rPr>
          <w:rFonts w:hint="eastAsia" w:ascii="宋体" w:hAnsi="宋体" w:cs="宋体"/>
          <w:color w:val="auto"/>
          <w:szCs w:val="21"/>
          <w:highlight w:val="none"/>
        </w:rPr>
        <w:t>2026年  月  日</w:t>
      </w:r>
    </w:p>
    <w:p w14:paraId="56DD7360">
      <w:pPr>
        <w:spacing w:line="400" w:lineRule="exact"/>
        <w:ind w:firstLine="420" w:firstLineChars="200"/>
        <w:jc w:val="right"/>
        <w:rPr>
          <w:rFonts w:hint="eastAsia" w:ascii="宋体" w:hAnsi="宋体" w:cs="宋体"/>
          <w:color w:val="auto"/>
          <w:szCs w:val="21"/>
          <w:highlight w:val="none"/>
          <w:lang w:val="zh-CN"/>
        </w:rPr>
      </w:pPr>
      <w:r>
        <w:rPr>
          <w:rFonts w:hint="eastAsia" w:ascii="宋体" w:hAnsi="宋体" w:cs="宋体"/>
          <w:color w:val="auto"/>
          <w:szCs w:val="21"/>
          <w:highlight w:val="none"/>
          <w:lang w:val="zh-CN"/>
        </w:rPr>
        <w:t xml:space="preserve">        </w:t>
      </w:r>
    </w:p>
    <w:p w14:paraId="62E46394">
      <w:pPr>
        <w:spacing w:line="400" w:lineRule="exact"/>
        <w:ind w:firstLine="420" w:firstLineChars="200"/>
        <w:rPr>
          <w:rFonts w:hint="eastAsia" w:ascii="宋体" w:hAnsi="宋体" w:cs="宋体"/>
          <w:color w:val="auto"/>
          <w:szCs w:val="21"/>
          <w:highlight w:val="none"/>
          <w:lang w:val="zh-CN"/>
        </w:rPr>
      </w:pPr>
    </w:p>
    <w:p w14:paraId="143467C3">
      <w:pPr>
        <w:spacing w:line="400" w:lineRule="exact"/>
        <w:ind w:firstLine="420" w:firstLineChars="200"/>
        <w:rPr>
          <w:rFonts w:hint="eastAsia" w:ascii="宋体" w:hAnsi="宋体" w:cs="宋体"/>
          <w:color w:val="auto"/>
          <w:szCs w:val="21"/>
          <w:highlight w:val="none"/>
          <w:lang w:val="zh-CN"/>
        </w:rPr>
      </w:pPr>
    </w:p>
    <w:p w14:paraId="67C8F71D">
      <w:pPr>
        <w:spacing w:line="400" w:lineRule="exact"/>
        <w:ind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lang w:val="zh-CN"/>
        </w:rPr>
        <w:t>附：被授权人基本资料</w:t>
      </w:r>
    </w:p>
    <w:p w14:paraId="4CBB8C71">
      <w:pPr>
        <w:spacing w:line="400" w:lineRule="exact"/>
        <w:ind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lang w:val="zh-CN"/>
        </w:rPr>
        <w:t>1</w:t>
      </w:r>
      <w:r>
        <w:rPr>
          <w:rFonts w:hint="eastAsia" w:ascii="宋体" w:hAnsi="宋体" w:cs="宋体"/>
          <w:color w:val="auto"/>
          <w:szCs w:val="21"/>
          <w:highlight w:val="none"/>
        </w:rPr>
        <w:t>.</w:t>
      </w:r>
      <w:r>
        <w:rPr>
          <w:rFonts w:hint="eastAsia" w:ascii="宋体" w:hAnsi="宋体" w:cs="宋体"/>
          <w:color w:val="auto"/>
          <w:szCs w:val="21"/>
          <w:highlight w:val="none"/>
          <w:lang w:val="zh-CN"/>
        </w:rPr>
        <w:t xml:space="preserve">姓名：             </w:t>
      </w:r>
    </w:p>
    <w:p w14:paraId="48A3F9E5">
      <w:pPr>
        <w:spacing w:line="400" w:lineRule="exact"/>
        <w:ind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lang w:val="zh-CN"/>
        </w:rPr>
        <w:t>2</w:t>
      </w:r>
      <w:r>
        <w:rPr>
          <w:rFonts w:hint="eastAsia" w:ascii="宋体" w:hAnsi="宋体" w:cs="宋体"/>
          <w:color w:val="auto"/>
          <w:szCs w:val="21"/>
          <w:highlight w:val="none"/>
        </w:rPr>
        <w:t>.</w:t>
      </w:r>
      <w:r>
        <w:rPr>
          <w:rFonts w:hint="eastAsia" w:ascii="宋体" w:hAnsi="宋体" w:cs="宋体"/>
          <w:color w:val="auto"/>
          <w:szCs w:val="21"/>
          <w:highlight w:val="none"/>
          <w:lang w:val="zh-CN"/>
        </w:rPr>
        <w:t xml:space="preserve">职务：                                            </w:t>
      </w:r>
    </w:p>
    <w:p w14:paraId="465C02D7">
      <w:pPr>
        <w:spacing w:line="400" w:lineRule="exact"/>
        <w:ind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lang w:val="zh-CN"/>
        </w:rPr>
        <w:t>3</w:t>
      </w:r>
      <w:r>
        <w:rPr>
          <w:rFonts w:hint="eastAsia" w:ascii="宋体" w:hAnsi="宋体" w:cs="宋体"/>
          <w:color w:val="auto"/>
          <w:szCs w:val="21"/>
          <w:highlight w:val="none"/>
        </w:rPr>
        <w:t>.</w:t>
      </w:r>
      <w:r>
        <w:rPr>
          <w:rFonts w:hint="eastAsia" w:ascii="宋体" w:hAnsi="宋体" w:cs="宋体"/>
          <w:color w:val="auto"/>
          <w:szCs w:val="21"/>
          <w:highlight w:val="none"/>
          <w:lang w:val="zh-CN"/>
        </w:rPr>
        <w:t>身份证号码：                   （请提供身份证</w:t>
      </w:r>
      <w:r>
        <w:rPr>
          <w:rFonts w:hint="eastAsia" w:ascii="宋体" w:hAnsi="宋体" w:cs="宋体"/>
          <w:color w:val="auto"/>
          <w:szCs w:val="21"/>
          <w:highlight w:val="none"/>
        </w:rPr>
        <w:t>正反面</w:t>
      </w:r>
      <w:r>
        <w:rPr>
          <w:rFonts w:hint="eastAsia" w:ascii="宋体" w:hAnsi="宋体" w:cs="宋体"/>
          <w:color w:val="auto"/>
          <w:szCs w:val="21"/>
          <w:highlight w:val="none"/>
          <w:lang w:val="zh-CN"/>
        </w:rPr>
        <w:t>复印件）</w:t>
      </w:r>
    </w:p>
    <w:p w14:paraId="2595830A">
      <w:pPr>
        <w:spacing w:line="400" w:lineRule="exact"/>
        <w:ind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lang w:val="zh-CN"/>
        </w:rPr>
        <w:t>4</w:t>
      </w:r>
      <w:r>
        <w:rPr>
          <w:rFonts w:hint="eastAsia" w:ascii="宋体" w:hAnsi="宋体" w:cs="宋体"/>
          <w:color w:val="auto"/>
          <w:szCs w:val="21"/>
          <w:highlight w:val="none"/>
        </w:rPr>
        <w:t>.</w:t>
      </w:r>
      <w:r>
        <w:rPr>
          <w:rFonts w:hint="eastAsia" w:ascii="宋体" w:hAnsi="宋体" w:cs="宋体"/>
          <w:color w:val="auto"/>
          <w:szCs w:val="21"/>
          <w:highlight w:val="none"/>
          <w:lang w:val="zh-CN"/>
        </w:rPr>
        <w:t xml:space="preserve">办公电话：             </w:t>
      </w:r>
    </w:p>
    <w:p w14:paraId="11DACD72">
      <w:pPr>
        <w:spacing w:line="400" w:lineRule="exact"/>
        <w:ind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lang w:val="zh-CN"/>
        </w:rPr>
        <w:t>5</w:t>
      </w:r>
      <w:r>
        <w:rPr>
          <w:rFonts w:hint="eastAsia" w:ascii="宋体" w:hAnsi="宋体" w:cs="宋体"/>
          <w:color w:val="auto"/>
          <w:szCs w:val="21"/>
          <w:highlight w:val="none"/>
        </w:rPr>
        <w:t>.</w:t>
      </w:r>
      <w:r>
        <w:rPr>
          <w:rFonts w:hint="eastAsia" w:ascii="宋体" w:hAnsi="宋体" w:cs="宋体"/>
          <w:color w:val="auto"/>
          <w:szCs w:val="21"/>
          <w:highlight w:val="none"/>
          <w:lang w:val="zh-CN"/>
        </w:rPr>
        <w:t xml:space="preserve">移动电话：                  </w:t>
      </w:r>
    </w:p>
    <w:p w14:paraId="30D09644">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zh-CN"/>
        </w:rPr>
        <w:t>6</w:t>
      </w:r>
      <w:r>
        <w:rPr>
          <w:rFonts w:hint="eastAsia" w:ascii="宋体" w:hAnsi="宋体" w:cs="宋体"/>
          <w:color w:val="auto"/>
          <w:szCs w:val="21"/>
          <w:highlight w:val="none"/>
        </w:rPr>
        <w:t>.</w:t>
      </w:r>
      <w:r>
        <w:rPr>
          <w:rFonts w:hint="eastAsia" w:ascii="宋体" w:hAnsi="宋体" w:cs="宋体"/>
          <w:color w:val="auto"/>
          <w:szCs w:val="21"/>
          <w:highlight w:val="none"/>
          <w:lang w:val="zh-CN"/>
        </w:rPr>
        <w:t>电子邮件地址：</w:t>
      </w:r>
    </w:p>
    <w:p w14:paraId="7068106F">
      <w:pPr>
        <w:pStyle w:val="4"/>
        <w:numPr>
          <w:ilvl w:val="0"/>
          <w:numId w:val="0"/>
        </w:numPr>
        <w:jc w:val="center"/>
        <w:rPr>
          <w:rFonts w:hint="eastAsia" w:ascii="宋体" w:hAnsi="宋体" w:eastAsia="宋体"/>
          <w:color w:val="auto"/>
          <w:sz w:val="24"/>
          <w:szCs w:val="24"/>
          <w:highlight w:val="none"/>
        </w:rPr>
      </w:pPr>
    </w:p>
    <w:p w14:paraId="625958F1">
      <w:pPr>
        <w:rPr>
          <w:rFonts w:hint="eastAsia" w:ascii="宋体" w:hAnsi="宋体"/>
          <w:color w:val="auto"/>
          <w:sz w:val="24"/>
          <w:highlight w:val="none"/>
        </w:rPr>
      </w:pPr>
    </w:p>
    <w:p w14:paraId="1984EE19">
      <w:pPr>
        <w:pStyle w:val="29"/>
        <w:rPr>
          <w:rFonts w:hint="eastAsia"/>
          <w:color w:val="auto"/>
          <w:sz w:val="24"/>
          <w:szCs w:val="24"/>
          <w:highlight w:val="none"/>
        </w:rPr>
      </w:pPr>
    </w:p>
    <w:p w14:paraId="422BE02B">
      <w:pPr>
        <w:rPr>
          <w:color w:val="auto"/>
          <w:highlight w:val="none"/>
        </w:rPr>
      </w:pPr>
    </w:p>
    <w:p w14:paraId="29DEAFCF">
      <w:pPr>
        <w:pStyle w:val="4"/>
        <w:numPr>
          <w:ilvl w:val="0"/>
          <w:numId w:val="0"/>
        </w:numPr>
        <w:jc w:val="center"/>
        <w:rPr>
          <w:rFonts w:hint="eastAsia" w:ascii="宋体" w:hAnsi="宋体" w:eastAsia="宋体"/>
          <w:color w:val="auto"/>
          <w:sz w:val="24"/>
          <w:szCs w:val="24"/>
          <w:highlight w:val="none"/>
        </w:rPr>
      </w:pPr>
    </w:p>
    <w:p w14:paraId="16B501FC">
      <w:pPr>
        <w:spacing w:before="156" w:beforeLines="50" w:after="156" w:afterLines="50" w:line="400" w:lineRule="exact"/>
        <w:jc w:val="center"/>
        <w:rPr>
          <w:rFonts w:hint="eastAsia" w:ascii="宋体" w:hAnsi="宋体"/>
          <w:b/>
          <w:color w:val="auto"/>
          <w:kern w:val="0"/>
          <w:sz w:val="24"/>
          <w:highlight w:val="none"/>
        </w:rPr>
      </w:pPr>
    </w:p>
    <w:p w14:paraId="45626C03">
      <w:pPr>
        <w:spacing w:before="156" w:beforeLines="50" w:after="156" w:afterLines="50" w:line="400" w:lineRule="exact"/>
        <w:jc w:val="center"/>
        <w:rPr>
          <w:rFonts w:hint="eastAsia" w:ascii="宋体" w:hAnsi="宋体"/>
          <w:b/>
          <w:color w:val="auto"/>
          <w:kern w:val="0"/>
          <w:sz w:val="24"/>
          <w:highlight w:val="none"/>
        </w:rPr>
      </w:pPr>
    </w:p>
    <w:p w14:paraId="0D2CB174">
      <w:pPr>
        <w:spacing w:before="156" w:beforeLines="50" w:after="156" w:afterLines="50" w:line="400" w:lineRule="exact"/>
        <w:jc w:val="center"/>
        <w:rPr>
          <w:rFonts w:hint="eastAsia" w:ascii="宋体" w:hAnsi="宋体"/>
          <w:b/>
          <w:color w:val="auto"/>
          <w:kern w:val="0"/>
          <w:sz w:val="24"/>
          <w:highlight w:val="none"/>
        </w:rPr>
      </w:pPr>
    </w:p>
    <w:p w14:paraId="4349DE3B">
      <w:pPr>
        <w:spacing w:before="156" w:beforeLines="50" w:after="156" w:afterLines="50" w:line="400" w:lineRule="exact"/>
        <w:jc w:val="center"/>
        <w:rPr>
          <w:rFonts w:hint="eastAsia" w:ascii="宋体" w:hAnsi="宋体"/>
          <w:b/>
          <w:color w:val="auto"/>
          <w:kern w:val="0"/>
          <w:sz w:val="24"/>
          <w:highlight w:val="none"/>
        </w:rPr>
      </w:pPr>
    </w:p>
    <w:p w14:paraId="78800C4E">
      <w:pPr>
        <w:spacing w:before="156" w:beforeLines="50" w:after="156" w:afterLines="50" w:line="400" w:lineRule="exact"/>
        <w:jc w:val="center"/>
        <w:rPr>
          <w:rFonts w:hint="eastAsia" w:ascii="宋体" w:hAnsi="宋体"/>
          <w:b/>
          <w:color w:val="auto"/>
          <w:kern w:val="0"/>
          <w:sz w:val="24"/>
          <w:highlight w:val="none"/>
        </w:rPr>
      </w:pPr>
    </w:p>
    <w:p w14:paraId="3658CD88">
      <w:pPr>
        <w:spacing w:before="156" w:beforeLines="50" w:after="156" w:afterLines="50" w:line="400" w:lineRule="exact"/>
        <w:jc w:val="center"/>
        <w:rPr>
          <w:rFonts w:hint="eastAsia" w:ascii="宋体" w:hAnsi="宋体"/>
          <w:b/>
          <w:color w:val="auto"/>
          <w:kern w:val="0"/>
          <w:sz w:val="24"/>
          <w:highlight w:val="none"/>
        </w:rPr>
      </w:pPr>
    </w:p>
    <w:p w14:paraId="15DBBF9A">
      <w:pPr>
        <w:spacing w:before="156" w:beforeLines="50" w:after="156" w:afterLines="50" w:line="400" w:lineRule="exact"/>
        <w:jc w:val="center"/>
        <w:rPr>
          <w:rFonts w:hint="eastAsia" w:ascii="宋体" w:hAnsi="宋体"/>
          <w:b/>
          <w:color w:val="auto"/>
          <w:kern w:val="0"/>
          <w:sz w:val="24"/>
          <w:highlight w:val="none"/>
        </w:rPr>
      </w:pPr>
      <w:r>
        <w:rPr>
          <w:rFonts w:hint="eastAsia" w:ascii="宋体" w:hAnsi="宋体"/>
          <w:b/>
          <w:color w:val="auto"/>
          <w:kern w:val="0"/>
          <w:sz w:val="24"/>
          <w:highlight w:val="none"/>
        </w:rPr>
        <w:t>三、详细评审</w:t>
      </w:r>
    </w:p>
    <w:p w14:paraId="6BE2838D">
      <w:pPr>
        <w:spacing w:before="156" w:beforeLines="50" w:after="156" w:afterLines="50" w:line="400" w:lineRule="exact"/>
        <w:jc w:val="left"/>
        <w:rPr>
          <w:rFonts w:hint="eastAsia" w:ascii="宋体" w:hAnsi="宋体" w:cs="宋体"/>
          <w:b/>
          <w:color w:val="auto"/>
          <w:szCs w:val="21"/>
          <w:highlight w:val="none"/>
        </w:rPr>
      </w:pPr>
      <w:r>
        <w:rPr>
          <w:rFonts w:hint="eastAsia" w:ascii="宋体" w:hAnsi="宋体" w:cs="宋体"/>
          <w:b/>
          <w:color w:val="auto"/>
          <w:szCs w:val="21"/>
          <w:highlight w:val="none"/>
        </w:rPr>
        <w:t>（一）报价表格式</w:t>
      </w:r>
    </w:p>
    <w:p w14:paraId="081E2477">
      <w:pPr>
        <w:spacing w:line="400" w:lineRule="exact"/>
        <w:rPr>
          <w:rFonts w:hint="eastAsia" w:ascii="宋体" w:hAnsi="宋体" w:cs="宋体"/>
          <w:color w:val="auto"/>
          <w:szCs w:val="21"/>
          <w:highlight w:val="none"/>
          <w:lang w:val="zh-CN"/>
        </w:rPr>
      </w:pPr>
      <w:r>
        <w:rPr>
          <w:rFonts w:hint="eastAsia" w:ascii="宋体" w:hAnsi="宋体" w:cs="宋体"/>
          <w:b/>
          <w:bCs/>
          <w:color w:val="auto"/>
          <w:szCs w:val="21"/>
          <w:highlight w:val="none"/>
          <w:lang w:val="zh-CN"/>
        </w:rPr>
        <w:t>项目名称：</w:t>
      </w:r>
      <w:r>
        <w:rPr>
          <w:rFonts w:hint="eastAsia" w:ascii="宋体" w:hAnsi="宋体" w:cs="宋体"/>
          <w:color w:val="auto"/>
          <w:szCs w:val="21"/>
          <w:highlight w:val="none"/>
          <w:lang w:val="zh-CN"/>
        </w:rPr>
        <w:t>南京市溧水区人民医院2026年第二批银行贷款项目</w:t>
      </w:r>
    </w:p>
    <w:tbl>
      <w:tblPr>
        <w:tblStyle w:val="23"/>
        <w:tblW w:w="502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7"/>
        <w:gridCol w:w="2834"/>
        <w:gridCol w:w="5347"/>
      </w:tblGrid>
      <w:tr w14:paraId="64AB4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exact"/>
          <w:jc w:val="center"/>
        </w:trPr>
        <w:tc>
          <w:tcPr>
            <w:tcW w:w="619" w:type="pct"/>
            <w:tcBorders>
              <w:top w:val="single" w:color="auto" w:sz="4" w:space="0"/>
              <w:left w:val="single" w:color="auto" w:sz="4" w:space="0"/>
              <w:bottom w:val="single" w:color="auto" w:sz="4" w:space="0"/>
              <w:right w:val="single" w:color="auto" w:sz="4" w:space="0"/>
            </w:tcBorders>
            <w:vAlign w:val="center"/>
          </w:tcPr>
          <w:p w14:paraId="34DB4F9E">
            <w:pPr>
              <w:widowControl/>
              <w:spacing w:line="4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序号</w:t>
            </w:r>
          </w:p>
        </w:tc>
        <w:tc>
          <w:tcPr>
            <w:tcW w:w="1517" w:type="pct"/>
            <w:tcBorders>
              <w:top w:val="single" w:color="auto" w:sz="4" w:space="0"/>
              <w:left w:val="single" w:color="auto" w:sz="4" w:space="0"/>
              <w:bottom w:val="single" w:color="auto" w:sz="4" w:space="0"/>
              <w:right w:val="single" w:color="auto" w:sz="4" w:space="0"/>
            </w:tcBorders>
            <w:vAlign w:val="center"/>
          </w:tcPr>
          <w:p w14:paraId="5130C077">
            <w:pPr>
              <w:widowControl/>
              <w:spacing w:line="400" w:lineRule="exact"/>
              <w:jc w:val="center"/>
              <w:rPr>
                <w:rFonts w:hint="eastAsia" w:ascii="宋体" w:hAnsi="宋体" w:cs="宋体"/>
                <w:color w:val="auto"/>
                <w:kern w:val="0"/>
                <w:szCs w:val="21"/>
                <w:highlight w:val="none"/>
              </w:rPr>
            </w:pPr>
            <w:r>
              <w:rPr>
                <w:rFonts w:hint="eastAsia" w:ascii="宋体" w:hAnsi="宋体" w:cs="宋体"/>
                <w:color w:val="auto"/>
                <w:spacing w:val="-1"/>
                <w:szCs w:val="21"/>
                <w:highlight w:val="none"/>
              </w:rPr>
              <w:t>名称</w:t>
            </w:r>
          </w:p>
        </w:tc>
        <w:tc>
          <w:tcPr>
            <w:tcW w:w="2862" w:type="pct"/>
            <w:tcBorders>
              <w:top w:val="single" w:color="auto" w:sz="4" w:space="0"/>
              <w:left w:val="single" w:color="auto" w:sz="4" w:space="0"/>
              <w:bottom w:val="single" w:color="auto" w:sz="4" w:space="0"/>
              <w:right w:val="single" w:color="auto" w:sz="4" w:space="0"/>
            </w:tcBorders>
            <w:vAlign w:val="center"/>
          </w:tcPr>
          <w:p w14:paraId="24D554BD">
            <w:pPr>
              <w:widowControl/>
              <w:spacing w:line="400" w:lineRule="exact"/>
              <w:jc w:val="center"/>
              <w:rPr>
                <w:rFonts w:hint="eastAsia" w:ascii="宋体" w:hAnsi="宋体" w:cs="宋体"/>
                <w:color w:val="auto"/>
                <w:spacing w:val="-1"/>
                <w:szCs w:val="21"/>
                <w:highlight w:val="none"/>
              </w:rPr>
            </w:pPr>
            <w:r>
              <w:rPr>
                <w:rFonts w:hint="eastAsia" w:ascii="宋体" w:hAnsi="宋体" w:cs="宋体"/>
                <w:color w:val="auto"/>
                <w:spacing w:val="-1"/>
                <w:szCs w:val="21"/>
                <w:highlight w:val="none"/>
              </w:rPr>
              <w:t>响应内容</w:t>
            </w:r>
          </w:p>
        </w:tc>
      </w:tr>
      <w:tr w14:paraId="381CD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exact"/>
          <w:jc w:val="center"/>
        </w:trPr>
        <w:tc>
          <w:tcPr>
            <w:tcW w:w="619" w:type="pct"/>
            <w:tcBorders>
              <w:top w:val="single" w:color="auto" w:sz="4" w:space="0"/>
              <w:left w:val="single" w:color="auto" w:sz="4" w:space="0"/>
              <w:bottom w:val="single" w:color="auto" w:sz="4" w:space="0"/>
              <w:right w:val="single" w:color="auto" w:sz="4" w:space="0"/>
            </w:tcBorders>
            <w:vAlign w:val="center"/>
          </w:tcPr>
          <w:p w14:paraId="4D89F78E">
            <w:pPr>
              <w:widowControl/>
              <w:spacing w:line="4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1517" w:type="pct"/>
            <w:tcBorders>
              <w:top w:val="single" w:color="auto" w:sz="4" w:space="0"/>
              <w:left w:val="single" w:color="auto" w:sz="4" w:space="0"/>
              <w:bottom w:val="single" w:color="auto" w:sz="4" w:space="0"/>
              <w:right w:val="single" w:color="auto" w:sz="4" w:space="0"/>
            </w:tcBorders>
            <w:vAlign w:val="center"/>
          </w:tcPr>
          <w:p w14:paraId="4FFCED09">
            <w:pPr>
              <w:widowControl/>
              <w:spacing w:line="400" w:lineRule="exact"/>
              <w:jc w:val="center"/>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一年期贷款年利率</w:t>
            </w:r>
          </w:p>
        </w:tc>
        <w:tc>
          <w:tcPr>
            <w:tcW w:w="2862" w:type="pct"/>
            <w:tcBorders>
              <w:top w:val="single" w:color="auto" w:sz="4" w:space="0"/>
              <w:left w:val="single" w:color="auto" w:sz="4" w:space="0"/>
              <w:bottom w:val="single" w:color="auto" w:sz="4" w:space="0"/>
              <w:right w:val="single" w:color="auto" w:sz="4" w:space="0"/>
            </w:tcBorders>
            <w:vAlign w:val="center"/>
          </w:tcPr>
          <w:p w14:paraId="16A40AA7">
            <w:pPr>
              <w:widowControl/>
              <w:spacing w:line="400" w:lineRule="exact"/>
              <w:rPr>
                <w:rFonts w:hint="eastAsia" w:ascii="宋体" w:hAnsi="宋体" w:cs="宋体"/>
                <w:color w:val="auto"/>
                <w:spacing w:val="-1"/>
                <w:szCs w:val="21"/>
                <w:highlight w:val="none"/>
              </w:rPr>
            </w:pPr>
            <w:r>
              <w:rPr>
                <w:rFonts w:hint="eastAsia" w:ascii="宋体" w:hAnsi="宋体" w:cs="宋体"/>
                <w:color w:val="auto"/>
                <w:kern w:val="0"/>
                <w:szCs w:val="21"/>
                <w:highlight w:val="none"/>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p>
        </w:tc>
      </w:tr>
      <w:tr w14:paraId="2BCB0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exact"/>
          <w:jc w:val="center"/>
        </w:trPr>
        <w:tc>
          <w:tcPr>
            <w:tcW w:w="619" w:type="pct"/>
            <w:tcBorders>
              <w:top w:val="single" w:color="auto" w:sz="4" w:space="0"/>
              <w:left w:val="single" w:color="auto" w:sz="4" w:space="0"/>
              <w:bottom w:val="single" w:color="auto" w:sz="4" w:space="0"/>
              <w:right w:val="single" w:color="auto" w:sz="4" w:space="0"/>
            </w:tcBorders>
            <w:vAlign w:val="center"/>
          </w:tcPr>
          <w:p w14:paraId="6F528B87">
            <w:pPr>
              <w:widowControl/>
              <w:spacing w:line="4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w:t>
            </w:r>
          </w:p>
        </w:tc>
        <w:tc>
          <w:tcPr>
            <w:tcW w:w="1517" w:type="pct"/>
            <w:tcBorders>
              <w:top w:val="single" w:color="auto" w:sz="4" w:space="0"/>
              <w:left w:val="single" w:color="auto" w:sz="4" w:space="0"/>
              <w:bottom w:val="single" w:color="auto" w:sz="4" w:space="0"/>
              <w:right w:val="single" w:color="auto" w:sz="4" w:space="0"/>
            </w:tcBorders>
            <w:vAlign w:val="center"/>
          </w:tcPr>
          <w:p w14:paraId="4DC1DB01">
            <w:pPr>
              <w:widowControl/>
              <w:spacing w:line="400" w:lineRule="exact"/>
              <w:jc w:val="center"/>
              <w:rPr>
                <w:rFonts w:hint="eastAsia" w:ascii="宋体" w:hAnsi="宋体" w:cs="宋体"/>
                <w:color w:val="auto"/>
                <w:spacing w:val="-1"/>
                <w:szCs w:val="21"/>
                <w:highlight w:val="none"/>
              </w:rPr>
            </w:pPr>
            <w:r>
              <w:rPr>
                <w:rFonts w:hint="eastAsia" w:ascii="宋体" w:hAnsi="宋体" w:cs="宋体"/>
                <w:color w:val="auto"/>
                <w:spacing w:val="-1"/>
                <w:szCs w:val="21"/>
                <w:highlight w:val="none"/>
              </w:rPr>
              <w:t>贷款期限</w:t>
            </w:r>
          </w:p>
        </w:tc>
        <w:tc>
          <w:tcPr>
            <w:tcW w:w="2862" w:type="pct"/>
            <w:tcBorders>
              <w:top w:val="single" w:color="auto" w:sz="4" w:space="0"/>
              <w:left w:val="single" w:color="auto" w:sz="4" w:space="0"/>
              <w:bottom w:val="single" w:color="auto" w:sz="4" w:space="0"/>
              <w:right w:val="single" w:color="auto" w:sz="4" w:space="0"/>
            </w:tcBorders>
            <w:vAlign w:val="center"/>
          </w:tcPr>
          <w:p w14:paraId="7C87DB74">
            <w:pPr>
              <w:widowControl/>
              <w:spacing w:line="400" w:lineRule="exact"/>
              <w:jc w:val="center"/>
              <w:rPr>
                <w:rFonts w:hint="eastAsia" w:ascii="宋体" w:hAnsi="宋体" w:cs="宋体"/>
                <w:color w:val="auto"/>
                <w:spacing w:val="-1"/>
                <w:szCs w:val="21"/>
                <w:highlight w:val="none"/>
              </w:rPr>
            </w:pPr>
            <w:r>
              <w:rPr>
                <w:rFonts w:hint="eastAsia" w:ascii="宋体" w:hAnsi="宋体" w:cs="宋体"/>
                <w:color w:val="auto"/>
                <w:spacing w:val="-1"/>
                <w:szCs w:val="21"/>
                <w:highlight w:val="none"/>
              </w:rPr>
              <w:t>1年</w:t>
            </w:r>
          </w:p>
        </w:tc>
      </w:tr>
      <w:tr w14:paraId="08F38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exact"/>
          <w:jc w:val="center"/>
        </w:trPr>
        <w:tc>
          <w:tcPr>
            <w:tcW w:w="619" w:type="pct"/>
            <w:tcBorders>
              <w:top w:val="single" w:color="auto" w:sz="4" w:space="0"/>
              <w:left w:val="single" w:color="auto" w:sz="4" w:space="0"/>
              <w:bottom w:val="single" w:color="auto" w:sz="4" w:space="0"/>
              <w:right w:val="single" w:color="auto" w:sz="4" w:space="0"/>
            </w:tcBorders>
            <w:vAlign w:val="center"/>
          </w:tcPr>
          <w:p w14:paraId="112C38AE">
            <w:pPr>
              <w:widowControl/>
              <w:spacing w:line="4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w:t>
            </w:r>
          </w:p>
        </w:tc>
        <w:tc>
          <w:tcPr>
            <w:tcW w:w="1517" w:type="pct"/>
            <w:tcBorders>
              <w:top w:val="single" w:color="auto" w:sz="4" w:space="0"/>
              <w:left w:val="single" w:color="auto" w:sz="4" w:space="0"/>
              <w:bottom w:val="single" w:color="auto" w:sz="4" w:space="0"/>
              <w:right w:val="single" w:color="auto" w:sz="4" w:space="0"/>
            </w:tcBorders>
            <w:vAlign w:val="center"/>
          </w:tcPr>
          <w:p w14:paraId="7B4AD8DB">
            <w:pPr>
              <w:widowControl/>
              <w:spacing w:line="400" w:lineRule="exact"/>
              <w:jc w:val="center"/>
              <w:rPr>
                <w:rFonts w:hint="eastAsia" w:ascii="宋体" w:hAnsi="宋体" w:cs="宋体"/>
                <w:color w:val="auto"/>
                <w:spacing w:val="-1"/>
                <w:szCs w:val="21"/>
                <w:highlight w:val="none"/>
              </w:rPr>
            </w:pPr>
            <w:r>
              <w:rPr>
                <w:rFonts w:hint="eastAsia" w:ascii="宋体" w:hAnsi="宋体" w:cs="宋体"/>
                <w:color w:val="auto"/>
                <w:spacing w:val="-3"/>
                <w:szCs w:val="21"/>
                <w:highlight w:val="none"/>
              </w:rPr>
              <w:t>响应有效期</w:t>
            </w:r>
          </w:p>
        </w:tc>
        <w:tc>
          <w:tcPr>
            <w:tcW w:w="2862" w:type="pct"/>
            <w:tcBorders>
              <w:top w:val="single" w:color="auto" w:sz="4" w:space="0"/>
              <w:left w:val="single" w:color="auto" w:sz="4" w:space="0"/>
              <w:bottom w:val="single" w:color="auto" w:sz="4" w:space="0"/>
              <w:right w:val="single" w:color="auto" w:sz="4" w:space="0"/>
            </w:tcBorders>
            <w:vAlign w:val="center"/>
          </w:tcPr>
          <w:p w14:paraId="4B7F3E33">
            <w:pPr>
              <w:widowControl/>
              <w:spacing w:line="400" w:lineRule="exact"/>
              <w:jc w:val="center"/>
              <w:rPr>
                <w:rFonts w:hint="eastAsia" w:ascii="宋体" w:hAnsi="宋体" w:cs="宋体"/>
                <w:color w:val="auto"/>
                <w:spacing w:val="-3"/>
                <w:szCs w:val="21"/>
                <w:highlight w:val="none"/>
              </w:rPr>
            </w:pPr>
            <w:r>
              <w:rPr>
                <w:rFonts w:hint="eastAsia" w:ascii="宋体" w:hAnsi="宋体" w:cs="宋体"/>
                <w:color w:val="auto"/>
                <w:spacing w:val="-2"/>
                <w:szCs w:val="21"/>
                <w:highlight w:val="none"/>
              </w:rPr>
              <w:t>响应截止日后90 天</w:t>
            </w:r>
          </w:p>
        </w:tc>
      </w:tr>
    </w:tbl>
    <w:p w14:paraId="70C60C9A">
      <w:pPr>
        <w:spacing w:line="400" w:lineRule="exact"/>
        <w:ind w:firstLine="3150" w:firstLineChars="1500"/>
        <w:jc w:val="right"/>
        <w:rPr>
          <w:rFonts w:hint="eastAsia" w:ascii="宋体" w:hAnsi="宋体" w:cs="宋体"/>
          <w:color w:val="auto"/>
          <w:szCs w:val="21"/>
          <w:highlight w:val="none"/>
        </w:rPr>
      </w:pPr>
    </w:p>
    <w:p w14:paraId="25EC4DEC">
      <w:pPr>
        <w:spacing w:line="400" w:lineRule="exact"/>
        <w:ind w:firstLine="3150" w:firstLineChars="1500"/>
        <w:jc w:val="right"/>
        <w:rPr>
          <w:rFonts w:hint="eastAsia" w:ascii="宋体" w:hAnsi="宋体" w:cs="宋体"/>
          <w:color w:val="auto"/>
          <w:szCs w:val="21"/>
          <w:highlight w:val="none"/>
        </w:rPr>
      </w:pPr>
    </w:p>
    <w:p w14:paraId="19B3242C">
      <w:pPr>
        <w:spacing w:line="400" w:lineRule="exact"/>
        <w:ind w:firstLine="3150" w:firstLineChars="1500"/>
        <w:jc w:val="right"/>
        <w:rPr>
          <w:rFonts w:hint="eastAsia" w:ascii="宋体" w:hAnsi="宋体" w:cs="宋体"/>
          <w:color w:val="auto"/>
          <w:szCs w:val="21"/>
          <w:highlight w:val="none"/>
        </w:rPr>
      </w:pPr>
    </w:p>
    <w:p w14:paraId="469D9A47">
      <w:pPr>
        <w:spacing w:line="400" w:lineRule="exact"/>
        <w:ind w:firstLine="3150" w:firstLineChars="1500"/>
        <w:jc w:val="right"/>
        <w:rPr>
          <w:rFonts w:hint="eastAsia" w:ascii="宋体" w:hAnsi="宋体" w:cs="宋体"/>
          <w:color w:val="auto"/>
          <w:szCs w:val="21"/>
          <w:highlight w:val="none"/>
        </w:rPr>
      </w:pPr>
    </w:p>
    <w:p w14:paraId="74B04410">
      <w:pPr>
        <w:spacing w:line="400" w:lineRule="exact"/>
        <w:ind w:firstLine="3150" w:firstLineChars="1500"/>
        <w:jc w:val="righ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银行被授权人（授权代理人签字）</w:t>
      </w:r>
      <w:r>
        <w:rPr>
          <w:rFonts w:hint="eastAsia" w:ascii="宋体" w:hAnsi="宋体" w:cs="宋体"/>
          <w:color w:val="auto"/>
          <w:szCs w:val="21"/>
          <w:highlight w:val="none"/>
        </w:rPr>
        <w:t>：</w:t>
      </w:r>
    </w:p>
    <w:p w14:paraId="0D9DF9B0">
      <w:pPr>
        <w:spacing w:line="400" w:lineRule="exact"/>
        <w:ind w:firstLine="420" w:firstLineChars="200"/>
        <w:jc w:val="right"/>
        <w:rPr>
          <w:rFonts w:hint="eastAsia" w:ascii="宋体" w:hAnsi="宋体" w:cs="宋体"/>
          <w:color w:val="auto"/>
          <w:szCs w:val="21"/>
          <w:highlight w:val="none"/>
        </w:rPr>
      </w:pPr>
    </w:p>
    <w:p w14:paraId="515BB07F">
      <w:pPr>
        <w:spacing w:line="400" w:lineRule="exact"/>
        <w:ind w:firstLine="420" w:firstLineChars="200"/>
        <w:jc w:val="right"/>
        <w:rPr>
          <w:rFonts w:hint="eastAsia" w:ascii="宋体" w:hAnsi="宋体" w:cs="宋体"/>
          <w:color w:val="auto"/>
          <w:szCs w:val="21"/>
          <w:highlight w:val="none"/>
        </w:rPr>
      </w:pPr>
      <w:r>
        <w:rPr>
          <w:rFonts w:hint="eastAsia" w:ascii="宋体" w:hAnsi="宋体" w:cs="宋体"/>
          <w:color w:val="auto"/>
          <w:szCs w:val="21"/>
          <w:highlight w:val="none"/>
        </w:rPr>
        <w:t>银行名称（公章）：</w:t>
      </w:r>
    </w:p>
    <w:p w14:paraId="71D5C3BE">
      <w:pPr>
        <w:wordWrap w:val="0"/>
        <w:spacing w:line="400" w:lineRule="exact"/>
        <w:ind w:firstLine="420" w:firstLineChars="200"/>
        <w:jc w:val="right"/>
        <w:rPr>
          <w:rFonts w:hint="eastAsia" w:ascii="宋体" w:hAnsi="宋体" w:cs="宋体"/>
          <w:color w:val="auto"/>
          <w:szCs w:val="21"/>
          <w:highlight w:val="none"/>
        </w:rPr>
      </w:pPr>
    </w:p>
    <w:p w14:paraId="5EA8D37A">
      <w:pPr>
        <w:wordWrap w:val="0"/>
        <w:spacing w:line="400" w:lineRule="exact"/>
        <w:ind w:firstLine="420" w:firstLineChars="200"/>
        <w:jc w:val="right"/>
        <w:rPr>
          <w:rFonts w:hint="eastAsia" w:ascii="宋体" w:hAnsi="宋体" w:cs="宋体"/>
          <w:color w:val="auto"/>
          <w:szCs w:val="21"/>
          <w:highlight w:val="none"/>
        </w:rPr>
      </w:pPr>
      <w:r>
        <w:rPr>
          <w:rFonts w:hint="eastAsia" w:ascii="宋体" w:hAnsi="宋体" w:cs="宋体"/>
          <w:color w:val="auto"/>
          <w:szCs w:val="21"/>
          <w:highlight w:val="none"/>
        </w:rPr>
        <w:t>2026年  月  日</w:t>
      </w:r>
    </w:p>
    <w:p w14:paraId="750D5AAA">
      <w:pPr>
        <w:jc w:val="center"/>
        <w:rPr>
          <w:rFonts w:hint="eastAsia" w:ascii="宋体" w:hAnsi="宋体" w:cs="宋体"/>
          <w:color w:val="auto"/>
          <w:szCs w:val="21"/>
          <w:highlight w:val="none"/>
          <w:lang w:val="zh-CN" w:bidi="ar"/>
        </w:rPr>
      </w:pPr>
    </w:p>
    <w:p w14:paraId="572A5061">
      <w:pPr>
        <w:pStyle w:val="57"/>
        <w:rPr>
          <w:rFonts w:hint="eastAsia" w:ascii="宋体" w:hAnsi="宋体" w:eastAsia="宋体" w:cs="宋体"/>
          <w:b/>
          <w:color w:val="auto"/>
          <w:kern w:val="2"/>
          <w:sz w:val="21"/>
          <w:szCs w:val="21"/>
          <w:highlight w:val="none"/>
          <w:lang w:val="en-US"/>
        </w:rPr>
      </w:pPr>
    </w:p>
    <w:p w14:paraId="57F8371B">
      <w:pPr>
        <w:pStyle w:val="57"/>
        <w:rPr>
          <w:rFonts w:hint="eastAsia" w:ascii="宋体" w:hAnsi="宋体" w:eastAsia="宋体" w:cs="宋体"/>
          <w:b/>
          <w:color w:val="auto"/>
          <w:kern w:val="2"/>
          <w:sz w:val="21"/>
          <w:szCs w:val="21"/>
          <w:highlight w:val="none"/>
          <w:lang w:val="en-US"/>
        </w:rPr>
      </w:pPr>
    </w:p>
    <w:p w14:paraId="79BA99DB">
      <w:pPr>
        <w:pStyle w:val="57"/>
        <w:rPr>
          <w:rFonts w:hint="eastAsia" w:ascii="宋体" w:hAnsi="宋体" w:eastAsia="宋体" w:cs="宋体"/>
          <w:b/>
          <w:color w:val="auto"/>
          <w:kern w:val="2"/>
          <w:sz w:val="21"/>
          <w:szCs w:val="21"/>
          <w:highlight w:val="none"/>
          <w:lang w:val="en-US"/>
        </w:rPr>
      </w:pPr>
    </w:p>
    <w:p w14:paraId="3D83DDE0">
      <w:pPr>
        <w:pStyle w:val="57"/>
        <w:rPr>
          <w:rFonts w:hint="eastAsia" w:ascii="宋体" w:hAnsi="宋体" w:eastAsia="宋体" w:cs="宋体"/>
          <w:b/>
          <w:color w:val="auto"/>
          <w:kern w:val="2"/>
          <w:sz w:val="21"/>
          <w:szCs w:val="21"/>
          <w:highlight w:val="none"/>
          <w:lang w:val="en-US"/>
        </w:rPr>
      </w:pPr>
    </w:p>
    <w:p w14:paraId="38E9BC44">
      <w:pPr>
        <w:pStyle w:val="57"/>
        <w:rPr>
          <w:rFonts w:hint="eastAsia" w:ascii="宋体" w:hAnsi="宋体" w:eastAsia="宋体" w:cs="宋体"/>
          <w:b/>
          <w:color w:val="auto"/>
          <w:kern w:val="2"/>
          <w:sz w:val="21"/>
          <w:szCs w:val="21"/>
          <w:highlight w:val="none"/>
          <w:lang w:val="en-US"/>
        </w:rPr>
      </w:pPr>
    </w:p>
    <w:p w14:paraId="011A23B3">
      <w:pPr>
        <w:pStyle w:val="57"/>
        <w:rPr>
          <w:rFonts w:hint="eastAsia" w:ascii="宋体" w:hAnsi="宋体" w:eastAsia="宋体" w:cs="宋体"/>
          <w:b/>
          <w:color w:val="auto"/>
          <w:kern w:val="2"/>
          <w:sz w:val="21"/>
          <w:szCs w:val="21"/>
          <w:highlight w:val="none"/>
          <w:lang w:val="en-US"/>
        </w:rPr>
      </w:pPr>
    </w:p>
    <w:p w14:paraId="4A4A4EF2">
      <w:pPr>
        <w:pStyle w:val="57"/>
        <w:rPr>
          <w:rFonts w:hint="eastAsia" w:ascii="宋体" w:hAnsi="宋体" w:eastAsia="宋体" w:cs="宋体"/>
          <w:b/>
          <w:color w:val="auto"/>
          <w:kern w:val="2"/>
          <w:sz w:val="21"/>
          <w:szCs w:val="21"/>
          <w:highlight w:val="none"/>
          <w:lang w:val="en-US"/>
        </w:rPr>
      </w:pPr>
    </w:p>
    <w:p w14:paraId="5EF8ADB1">
      <w:pPr>
        <w:pStyle w:val="57"/>
        <w:rPr>
          <w:rFonts w:hint="eastAsia" w:ascii="宋体" w:hAnsi="宋体" w:eastAsia="宋体" w:cs="宋体"/>
          <w:b/>
          <w:color w:val="auto"/>
          <w:kern w:val="2"/>
          <w:sz w:val="21"/>
          <w:szCs w:val="21"/>
          <w:highlight w:val="none"/>
          <w:lang w:val="en-US"/>
        </w:rPr>
      </w:pPr>
    </w:p>
    <w:p w14:paraId="64D0DBDA">
      <w:pPr>
        <w:pStyle w:val="57"/>
        <w:rPr>
          <w:rFonts w:hint="eastAsia" w:ascii="宋体" w:hAnsi="宋体" w:eastAsia="宋体" w:cs="宋体"/>
          <w:b/>
          <w:color w:val="auto"/>
          <w:kern w:val="2"/>
          <w:sz w:val="21"/>
          <w:szCs w:val="21"/>
          <w:highlight w:val="none"/>
          <w:lang w:val="en-US"/>
        </w:rPr>
      </w:pPr>
    </w:p>
    <w:p w14:paraId="40E92D71">
      <w:pPr>
        <w:pStyle w:val="57"/>
        <w:rPr>
          <w:rFonts w:hint="eastAsia" w:ascii="宋体" w:hAnsi="宋体" w:eastAsia="宋体" w:cs="宋体"/>
          <w:b/>
          <w:color w:val="auto"/>
          <w:kern w:val="2"/>
          <w:sz w:val="21"/>
          <w:szCs w:val="21"/>
          <w:highlight w:val="none"/>
          <w:lang w:val="en-US"/>
        </w:rPr>
      </w:pPr>
    </w:p>
    <w:p w14:paraId="093F00C2">
      <w:pPr>
        <w:pStyle w:val="57"/>
        <w:rPr>
          <w:rFonts w:hint="eastAsia" w:ascii="宋体" w:hAnsi="宋体" w:eastAsia="宋体" w:cs="宋体"/>
          <w:b/>
          <w:color w:val="auto"/>
          <w:kern w:val="2"/>
          <w:sz w:val="21"/>
          <w:szCs w:val="21"/>
          <w:highlight w:val="none"/>
          <w:lang w:val="en-US"/>
        </w:rPr>
      </w:pPr>
    </w:p>
    <w:p w14:paraId="455EE18C">
      <w:pPr>
        <w:pStyle w:val="57"/>
        <w:rPr>
          <w:rFonts w:hint="eastAsia" w:ascii="宋体" w:hAnsi="宋体" w:eastAsia="宋体" w:cs="宋体"/>
          <w:b/>
          <w:color w:val="auto"/>
          <w:kern w:val="2"/>
          <w:sz w:val="21"/>
          <w:szCs w:val="21"/>
          <w:highlight w:val="none"/>
          <w:lang w:val="en-US"/>
        </w:rPr>
      </w:pPr>
    </w:p>
    <w:p w14:paraId="12769A6D">
      <w:pPr>
        <w:pStyle w:val="57"/>
        <w:rPr>
          <w:rFonts w:hint="eastAsia" w:ascii="宋体" w:hAnsi="宋体" w:eastAsia="宋体" w:cs="宋体"/>
          <w:b/>
          <w:color w:val="auto"/>
          <w:kern w:val="2"/>
          <w:sz w:val="21"/>
          <w:szCs w:val="21"/>
          <w:highlight w:val="none"/>
          <w:lang w:val="en-US"/>
        </w:rPr>
      </w:pPr>
    </w:p>
    <w:p w14:paraId="0BE540A2">
      <w:pPr>
        <w:pStyle w:val="57"/>
        <w:rPr>
          <w:rFonts w:hint="eastAsia" w:ascii="宋体" w:hAnsi="宋体" w:eastAsia="宋体" w:cs="宋体"/>
          <w:b/>
          <w:color w:val="auto"/>
          <w:kern w:val="2"/>
          <w:sz w:val="21"/>
          <w:szCs w:val="21"/>
          <w:highlight w:val="none"/>
          <w:lang w:val="en-US"/>
        </w:rPr>
      </w:pPr>
    </w:p>
    <w:p w14:paraId="13861FE6">
      <w:pPr>
        <w:pStyle w:val="57"/>
        <w:rPr>
          <w:rFonts w:hint="eastAsia" w:ascii="宋体" w:hAnsi="宋体" w:eastAsia="宋体" w:cs="宋体"/>
          <w:b/>
          <w:color w:val="auto"/>
          <w:kern w:val="2"/>
          <w:sz w:val="21"/>
          <w:szCs w:val="21"/>
          <w:highlight w:val="none"/>
          <w:lang w:val="en-US"/>
        </w:rPr>
      </w:pPr>
      <w:r>
        <w:rPr>
          <w:rFonts w:hint="eastAsia" w:ascii="宋体" w:hAnsi="宋体" w:eastAsia="宋体" w:cs="宋体"/>
          <w:b/>
          <w:color w:val="auto"/>
          <w:kern w:val="2"/>
          <w:sz w:val="21"/>
          <w:szCs w:val="21"/>
          <w:highlight w:val="none"/>
          <w:lang w:val="en-US"/>
        </w:rPr>
        <w:t>（二）最终报价函</w:t>
      </w:r>
    </w:p>
    <w:p w14:paraId="6EF8EE7C">
      <w:pPr>
        <w:pStyle w:val="57"/>
        <w:jc w:val="center"/>
        <w:rPr>
          <w:rFonts w:hint="eastAsia" w:ascii="宋体" w:hAnsi="宋体" w:eastAsia="宋体" w:cs="宋体"/>
          <w:b/>
          <w:bCs/>
          <w:color w:val="auto"/>
          <w:kern w:val="2"/>
          <w:szCs w:val="24"/>
          <w:highlight w:val="none"/>
          <w:lang w:val="en-US"/>
        </w:rPr>
      </w:pPr>
      <w:r>
        <w:rPr>
          <w:rFonts w:hint="eastAsia" w:ascii="宋体" w:hAnsi="宋体" w:eastAsia="宋体" w:cs="宋体"/>
          <w:b/>
          <w:bCs/>
          <w:color w:val="auto"/>
          <w:kern w:val="2"/>
          <w:szCs w:val="24"/>
          <w:highlight w:val="none"/>
          <w:lang w:val="en-US"/>
        </w:rPr>
        <w:t>最终报价函</w:t>
      </w:r>
    </w:p>
    <w:p w14:paraId="37D4610B">
      <w:pPr>
        <w:pStyle w:val="57"/>
        <w:rPr>
          <w:rFonts w:hint="eastAsia" w:ascii="宋体" w:hAnsi="宋体" w:cs="宋体"/>
          <w:color w:val="auto"/>
          <w:szCs w:val="21"/>
          <w:highlight w:val="none"/>
        </w:rPr>
      </w:pPr>
      <w:r>
        <w:rPr>
          <w:rFonts w:hint="eastAsia" w:ascii="宋体" w:hAnsi="宋体" w:eastAsia="宋体" w:cs="宋体"/>
          <w:color w:val="auto"/>
          <w:sz w:val="21"/>
          <w:szCs w:val="21"/>
          <w:highlight w:val="none"/>
        </w:rPr>
        <w:t>项目</w:t>
      </w:r>
      <w:r>
        <w:rPr>
          <w:rFonts w:hint="eastAsia" w:ascii="宋体" w:hAnsi="宋体" w:eastAsia="宋体" w:cs="宋体"/>
          <w:color w:val="auto"/>
          <w:sz w:val="21"/>
          <w:szCs w:val="21"/>
          <w:highlight w:val="none"/>
          <w:lang w:val="en-US" w:eastAsia="zh-CN"/>
        </w:rPr>
        <w:t>编号及</w:t>
      </w:r>
      <w:r>
        <w:rPr>
          <w:rFonts w:hint="eastAsia" w:ascii="宋体" w:hAnsi="宋体" w:eastAsia="宋体" w:cs="宋体"/>
          <w:color w:val="auto"/>
          <w:sz w:val="21"/>
          <w:szCs w:val="21"/>
          <w:highlight w:val="none"/>
        </w:rPr>
        <w:t>名称：ZXDL-2026-080</w:t>
      </w:r>
      <w:r>
        <w:rPr>
          <w:rFonts w:hint="eastAsia" w:ascii="宋体" w:hAnsi="宋体" w:eastAsia="宋体" w:cs="宋体"/>
          <w:color w:val="auto"/>
          <w:sz w:val="21"/>
          <w:szCs w:val="21"/>
          <w:highlight w:val="none"/>
          <w:lang w:eastAsia="zh-CN"/>
        </w:rPr>
        <w:t>南京市溧水区人民医院2026年第二批银行贷款项目</w:t>
      </w:r>
      <w:r>
        <w:rPr>
          <w:rFonts w:hint="eastAsia" w:ascii="宋体" w:hAnsi="宋体" w:eastAsia="宋体" w:cs="宋体"/>
          <w:color w:val="auto"/>
          <w:sz w:val="21"/>
          <w:szCs w:val="21"/>
          <w:highlight w:val="none"/>
        </w:rPr>
        <w:t>。</w:t>
      </w:r>
    </w:p>
    <w:p w14:paraId="3853208F">
      <w:pPr>
        <w:pStyle w:val="89"/>
        <w:rPr>
          <w:color w:val="auto"/>
          <w:highlight w:val="none"/>
        </w:rPr>
      </w:pPr>
    </w:p>
    <w:tbl>
      <w:tblPr>
        <w:tblStyle w:val="23"/>
        <w:tblW w:w="103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0"/>
        <w:gridCol w:w="3840"/>
        <w:gridCol w:w="2509"/>
      </w:tblGrid>
      <w:tr w14:paraId="4A9BE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0" w:hRule="atLeast"/>
          <w:jc w:val="center"/>
        </w:trPr>
        <w:tc>
          <w:tcPr>
            <w:tcW w:w="4040" w:type="dxa"/>
            <w:tcBorders>
              <w:top w:val="single" w:color="auto" w:sz="12" w:space="0"/>
              <w:left w:val="single" w:color="auto" w:sz="12" w:space="0"/>
              <w:bottom w:val="single" w:color="auto" w:sz="6" w:space="0"/>
              <w:right w:val="single" w:color="auto" w:sz="6" w:space="0"/>
            </w:tcBorders>
            <w:vAlign w:val="center"/>
          </w:tcPr>
          <w:p w14:paraId="1385B31A">
            <w:pPr>
              <w:spacing w:before="240" w:after="240"/>
              <w:ind w:firstLine="570"/>
              <w:jc w:val="center"/>
              <w:rPr>
                <w:rFonts w:hint="eastAsia" w:ascii="宋体" w:hAnsi="宋体" w:cs="宋体"/>
                <w:color w:val="auto"/>
                <w:szCs w:val="21"/>
                <w:highlight w:val="none"/>
              </w:rPr>
            </w:pPr>
            <w:r>
              <w:rPr>
                <w:rFonts w:hint="eastAsia" w:ascii="宋体" w:hAnsi="宋体" w:cs="宋体"/>
                <w:color w:val="auto"/>
                <w:szCs w:val="21"/>
                <w:highlight w:val="none"/>
              </w:rPr>
              <w:t>银行全称</w:t>
            </w:r>
          </w:p>
        </w:tc>
        <w:tc>
          <w:tcPr>
            <w:tcW w:w="3840" w:type="dxa"/>
            <w:tcBorders>
              <w:top w:val="single" w:color="auto" w:sz="12" w:space="0"/>
              <w:left w:val="single" w:color="auto" w:sz="6" w:space="0"/>
              <w:bottom w:val="single" w:color="auto" w:sz="6" w:space="0"/>
              <w:right w:val="single" w:color="auto" w:sz="4" w:space="0"/>
            </w:tcBorders>
            <w:vAlign w:val="center"/>
          </w:tcPr>
          <w:p w14:paraId="2B404103">
            <w:pPr>
              <w:spacing w:before="240" w:after="240"/>
              <w:jc w:val="center"/>
              <w:rPr>
                <w:rFonts w:hint="eastAsia" w:ascii="宋体" w:hAnsi="宋体" w:cs="宋体"/>
                <w:color w:val="auto"/>
                <w:szCs w:val="21"/>
                <w:highlight w:val="none"/>
              </w:rPr>
            </w:pPr>
            <w:r>
              <w:rPr>
                <w:rFonts w:hint="eastAsia" w:ascii="宋体" w:hAnsi="宋体" w:cs="宋体"/>
                <w:color w:val="auto"/>
                <w:kern w:val="0"/>
                <w:szCs w:val="21"/>
                <w:highlight w:val="none"/>
              </w:rPr>
              <w:t>一年期贷款年利率</w:t>
            </w:r>
          </w:p>
        </w:tc>
        <w:tc>
          <w:tcPr>
            <w:tcW w:w="2509" w:type="dxa"/>
            <w:tcBorders>
              <w:top w:val="single" w:color="auto" w:sz="12" w:space="0"/>
              <w:left w:val="single" w:color="auto" w:sz="4" w:space="0"/>
              <w:bottom w:val="single" w:color="auto" w:sz="6" w:space="0"/>
              <w:right w:val="single" w:color="auto" w:sz="12" w:space="0"/>
            </w:tcBorders>
            <w:vAlign w:val="center"/>
          </w:tcPr>
          <w:p w14:paraId="72D57180">
            <w:pPr>
              <w:spacing w:before="240" w:after="240"/>
              <w:rPr>
                <w:rFonts w:hint="eastAsia" w:ascii="宋体" w:hAnsi="宋体" w:cs="宋体"/>
                <w:color w:val="auto"/>
                <w:szCs w:val="21"/>
                <w:highlight w:val="none"/>
              </w:rPr>
            </w:pPr>
            <w:r>
              <w:rPr>
                <w:rFonts w:hint="eastAsia" w:ascii="宋体" w:hAnsi="宋体" w:cs="宋体"/>
                <w:color w:val="auto"/>
                <w:szCs w:val="21"/>
                <w:highlight w:val="none"/>
              </w:rPr>
              <w:t>银行法定代表人或</w:t>
            </w:r>
          </w:p>
          <w:p w14:paraId="032D8556">
            <w:pPr>
              <w:spacing w:before="240" w:after="240"/>
              <w:rPr>
                <w:rFonts w:hint="eastAsia" w:ascii="宋体" w:hAnsi="宋体" w:cs="宋体"/>
                <w:color w:val="auto"/>
                <w:szCs w:val="21"/>
                <w:highlight w:val="none"/>
              </w:rPr>
            </w:pPr>
            <w:r>
              <w:rPr>
                <w:rFonts w:hint="eastAsia" w:ascii="宋体" w:hAnsi="宋体" w:cs="宋体"/>
                <w:color w:val="auto"/>
                <w:szCs w:val="21"/>
                <w:highlight w:val="none"/>
                <w:lang w:val="en-US" w:eastAsia="zh-CN"/>
              </w:rPr>
              <w:t>银行被授权人</w:t>
            </w:r>
            <w:r>
              <w:rPr>
                <w:rFonts w:hint="eastAsia" w:ascii="宋体" w:hAnsi="宋体" w:cs="宋体"/>
                <w:color w:val="auto"/>
                <w:szCs w:val="21"/>
                <w:highlight w:val="none"/>
              </w:rPr>
              <w:t>签字确认</w:t>
            </w:r>
          </w:p>
        </w:tc>
      </w:tr>
      <w:tr w14:paraId="6E401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84" w:hRule="atLeast"/>
          <w:jc w:val="center"/>
        </w:trPr>
        <w:tc>
          <w:tcPr>
            <w:tcW w:w="4040" w:type="dxa"/>
            <w:tcBorders>
              <w:top w:val="single" w:color="auto" w:sz="6" w:space="0"/>
              <w:left w:val="single" w:color="auto" w:sz="12" w:space="0"/>
              <w:bottom w:val="single" w:color="auto" w:sz="6" w:space="0"/>
              <w:right w:val="single" w:color="auto" w:sz="6" w:space="0"/>
            </w:tcBorders>
            <w:vAlign w:val="center"/>
          </w:tcPr>
          <w:p w14:paraId="4B9395F0">
            <w:pPr>
              <w:jc w:val="center"/>
              <w:rPr>
                <w:rFonts w:hint="eastAsia" w:ascii="宋体" w:hAnsi="宋体" w:cs="宋体"/>
                <w:color w:val="auto"/>
                <w:szCs w:val="21"/>
                <w:highlight w:val="none"/>
              </w:rPr>
            </w:pPr>
          </w:p>
        </w:tc>
        <w:tc>
          <w:tcPr>
            <w:tcW w:w="3840" w:type="dxa"/>
            <w:tcBorders>
              <w:top w:val="single" w:color="auto" w:sz="6" w:space="0"/>
              <w:left w:val="single" w:color="auto" w:sz="6" w:space="0"/>
              <w:bottom w:val="single" w:color="auto" w:sz="6" w:space="0"/>
              <w:right w:val="single" w:color="auto" w:sz="4" w:space="0"/>
            </w:tcBorders>
            <w:vAlign w:val="center"/>
          </w:tcPr>
          <w:p w14:paraId="03FB603F">
            <w:pPr>
              <w:jc w:val="left"/>
              <w:rPr>
                <w:rFonts w:hint="eastAsia" w:ascii="宋体" w:hAnsi="宋体" w:cs="宋体"/>
                <w:color w:val="auto"/>
                <w:szCs w:val="21"/>
                <w:highlight w:val="none"/>
              </w:rPr>
            </w:pPr>
          </w:p>
        </w:tc>
        <w:tc>
          <w:tcPr>
            <w:tcW w:w="2509" w:type="dxa"/>
            <w:tcBorders>
              <w:top w:val="single" w:color="auto" w:sz="6" w:space="0"/>
              <w:left w:val="single" w:color="auto" w:sz="4" w:space="0"/>
              <w:bottom w:val="single" w:color="auto" w:sz="6" w:space="0"/>
              <w:right w:val="single" w:color="auto" w:sz="12" w:space="0"/>
            </w:tcBorders>
            <w:vAlign w:val="center"/>
          </w:tcPr>
          <w:p w14:paraId="50E043F7">
            <w:pPr>
              <w:jc w:val="center"/>
              <w:rPr>
                <w:rFonts w:hint="eastAsia" w:ascii="宋体" w:hAnsi="宋体" w:cs="宋体"/>
                <w:color w:val="auto"/>
                <w:szCs w:val="21"/>
                <w:highlight w:val="none"/>
              </w:rPr>
            </w:pPr>
          </w:p>
        </w:tc>
      </w:tr>
      <w:tr w14:paraId="4CB7B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20" w:hRule="atLeast"/>
          <w:jc w:val="center"/>
        </w:trPr>
        <w:tc>
          <w:tcPr>
            <w:tcW w:w="10389" w:type="dxa"/>
            <w:gridSpan w:val="3"/>
            <w:tcBorders>
              <w:top w:val="single" w:color="auto" w:sz="6" w:space="0"/>
              <w:left w:val="single" w:color="auto" w:sz="12" w:space="0"/>
              <w:bottom w:val="single" w:color="auto" w:sz="12" w:space="0"/>
              <w:right w:val="single" w:color="auto" w:sz="12" w:space="0"/>
            </w:tcBorders>
          </w:tcPr>
          <w:p w14:paraId="39008445">
            <w:pPr>
              <w:rPr>
                <w:rFonts w:hint="eastAsia" w:ascii="宋体" w:hAnsi="宋体" w:cs="宋体"/>
                <w:color w:val="auto"/>
                <w:szCs w:val="21"/>
                <w:highlight w:val="none"/>
              </w:rPr>
            </w:pPr>
          </w:p>
          <w:p w14:paraId="4A5F2082">
            <w:pPr>
              <w:rPr>
                <w:rFonts w:hint="eastAsia" w:ascii="宋体" w:hAnsi="宋体" w:cs="宋体"/>
                <w:color w:val="auto"/>
                <w:szCs w:val="21"/>
                <w:highlight w:val="none"/>
              </w:rPr>
            </w:pPr>
          </w:p>
          <w:p w14:paraId="63E310A5">
            <w:pPr>
              <w:rPr>
                <w:rFonts w:hint="eastAsia" w:ascii="宋体" w:hAnsi="宋体" w:cs="宋体"/>
                <w:color w:val="auto"/>
                <w:szCs w:val="21"/>
                <w:highlight w:val="none"/>
              </w:rPr>
            </w:pPr>
          </w:p>
          <w:p w14:paraId="5A37106D">
            <w:pPr>
              <w:rPr>
                <w:rFonts w:hint="eastAsia" w:ascii="宋体" w:hAnsi="宋体" w:cs="宋体"/>
                <w:color w:val="auto"/>
                <w:szCs w:val="21"/>
                <w:highlight w:val="none"/>
              </w:rPr>
            </w:pPr>
          </w:p>
          <w:p w14:paraId="37BFA014">
            <w:pPr>
              <w:rPr>
                <w:rFonts w:hint="eastAsia" w:ascii="宋体" w:hAnsi="宋体" w:cs="宋体"/>
                <w:color w:val="auto"/>
                <w:szCs w:val="21"/>
                <w:highlight w:val="none"/>
              </w:rPr>
            </w:pPr>
          </w:p>
          <w:p w14:paraId="05C3B09D">
            <w:pPr>
              <w:rPr>
                <w:rFonts w:hint="eastAsia" w:ascii="宋体" w:hAnsi="宋体" w:cs="宋体"/>
                <w:color w:val="auto"/>
                <w:szCs w:val="21"/>
                <w:highlight w:val="none"/>
              </w:rPr>
            </w:pPr>
          </w:p>
          <w:p w14:paraId="4081FDD9">
            <w:pPr>
              <w:rPr>
                <w:rFonts w:hint="eastAsia" w:ascii="宋体" w:hAnsi="宋体" w:cs="宋体"/>
                <w:color w:val="auto"/>
                <w:szCs w:val="21"/>
                <w:highlight w:val="none"/>
              </w:rPr>
            </w:pPr>
          </w:p>
          <w:p w14:paraId="7E5E82DC">
            <w:pPr>
              <w:rPr>
                <w:rFonts w:hint="eastAsia" w:ascii="宋体" w:hAnsi="宋体" w:cs="宋体"/>
                <w:color w:val="auto"/>
                <w:szCs w:val="21"/>
                <w:highlight w:val="none"/>
              </w:rPr>
            </w:pPr>
          </w:p>
          <w:p w14:paraId="00319DA0">
            <w:pPr>
              <w:rPr>
                <w:rFonts w:hint="eastAsia" w:ascii="宋体" w:hAnsi="宋体" w:cs="宋体"/>
                <w:color w:val="auto"/>
                <w:szCs w:val="21"/>
                <w:highlight w:val="none"/>
              </w:rPr>
            </w:pPr>
          </w:p>
          <w:p w14:paraId="6607963F">
            <w:pPr>
              <w:rPr>
                <w:rFonts w:hint="eastAsia" w:ascii="宋体" w:hAnsi="宋体" w:cs="宋体"/>
                <w:color w:val="auto"/>
                <w:szCs w:val="21"/>
                <w:highlight w:val="none"/>
              </w:rPr>
            </w:pPr>
          </w:p>
          <w:p w14:paraId="0DC4B785">
            <w:pPr>
              <w:rPr>
                <w:rFonts w:hint="eastAsia" w:ascii="宋体" w:hAnsi="宋体" w:cs="宋体"/>
                <w:color w:val="auto"/>
                <w:szCs w:val="21"/>
                <w:highlight w:val="none"/>
              </w:rPr>
            </w:pPr>
          </w:p>
          <w:p w14:paraId="2E055E56">
            <w:pPr>
              <w:rPr>
                <w:rFonts w:hint="eastAsia" w:ascii="宋体" w:hAnsi="宋体" w:cs="宋体"/>
                <w:color w:val="auto"/>
                <w:szCs w:val="21"/>
                <w:highlight w:val="none"/>
              </w:rPr>
            </w:pPr>
          </w:p>
          <w:p w14:paraId="42A390EC">
            <w:pPr>
              <w:rPr>
                <w:rFonts w:hint="eastAsia" w:ascii="宋体" w:hAnsi="宋体" w:cs="宋体"/>
                <w:color w:val="auto"/>
                <w:szCs w:val="21"/>
                <w:highlight w:val="none"/>
              </w:rPr>
            </w:pPr>
          </w:p>
          <w:p w14:paraId="12203920">
            <w:pPr>
              <w:rPr>
                <w:rFonts w:hint="eastAsia" w:ascii="宋体" w:hAnsi="宋体" w:cs="宋体"/>
                <w:color w:val="auto"/>
                <w:szCs w:val="21"/>
                <w:highlight w:val="none"/>
              </w:rPr>
            </w:pPr>
          </w:p>
          <w:p w14:paraId="1118B525">
            <w:pPr>
              <w:rPr>
                <w:rFonts w:hint="eastAsia" w:ascii="宋体" w:hAnsi="宋体" w:cs="宋体"/>
                <w:color w:val="auto"/>
                <w:szCs w:val="21"/>
                <w:highlight w:val="none"/>
              </w:rPr>
            </w:pPr>
          </w:p>
          <w:p w14:paraId="6957F339">
            <w:pPr>
              <w:rPr>
                <w:rFonts w:hint="eastAsia" w:ascii="宋体" w:hAnsi="宋体" w:cs="宋体"/>
                <w:color w:val="auto"/>
                <w:szCs w:val="21"/>
                <w:highlight w:val="none"/>
              </w:rPr>
            </w:pPr>
          </w:p>
          <w:p w14:paraId="1A051F31">
            <w:pPr>
              <w:rPr>
                <w:rFonts w:hint="eastAsia" w:ascii="宋体" w:hAnsi="宋体" w:cs="宋体"/>
                <w:color w:val="auto"/>
                <w:szCs w:val="21"/>
                <w:highlight w:val="none"/>
              </w:rPr>
            </w:pPr>
          </w:p>
          <w:p w14:paraId="000E80DF">
            <w:pPr>
              <w:rPr>
                <w:rFonts w:hint="eastAsia" w:ascii="宋体" w:hAnsi="宋体" w:cs="宋体"/>
                <w:color w:val="auto"/>
                <w:szCs w:val="21"/>
                <w:highlight w:val="none"/>
              </w:rPr>
            </w:pPr>
          </w:p>
          <w:p w14:paraId="56FF7DC9">
            <w:pPr>
              <w:rPr>
                <w:rFonts w:hint="eastAsia" w:ascii="宋体" w:hAnsi="宋体" w:cs="宋体"/>
                <w:color w:val="auto"/>
                <w:szCs w:val="21"/>
                <w:highlight w:val="none"/>
              </w:rPr>
            </w:pPr>
          </w:p>
          <w:p w14:paraId="1202908B">
            <w:pPr>
              <w:rPr>
                <w:rFonts w:hint="eastAsia" w:ascii="宋体" w:hAnsi="宋体" w:cs="宋体"/>
                <w:color w:val="auto"/>
                <w:szCs w:val="21"/>
                <w:highlight w:val="none"/>
              </w:rPr>
            </w:pPr>
          </w:p>
          <w:p w14:paraId="474A21B4">
            <w:pPr>
              <w:rPr>
                <w:rFonts w:hint="eastAsia" w:ascii="宋体" w:hAnsi="宋体" w:cs="宋体"/>
                <w:color w:val="auto"/>
                <w:szCs w:val="21"/>
                <w:highlight w:val="none"/>
              </w:rPr>
            </w:pPr>
          </w:p>
          <w:p w14:paraId="713A7534">
            <w:pPr>
              <w:rPr>
                <w:rFonts w:hint="eastAsia" w:ascii="宋体" w:hAnsi="宋体" w:cs="宋体"/>
                <w:color w:val="auto"/>
                <w:szCs w:val="21"/>
                <w:highlight w:val="none"/>
              </w:rPr>
            </w:pPr>
          </w:p>
          <w:p w14:paraId="399E192E">
            <w:pPr>
              <w:rPr>
                <w:rFonts w:hint="eastAsia" w:ascii="宋体" w:hAnsi="宋体" w:cs="宋体"/>
                <w:color w:val="auto"/>
                <w:szCs w:val="21"/>
                <w:highlight w:val="none"/>
              </w:rPr>
            </w:pPr>
          </w:p>
          <w:p w14:paraId="6441010F">
            <w:pPr>
              <w:spacing w:after="240"/>
              <w:rPr>
                <w:rFonts w:hint="eastAsia" w:ascii="宋体" w:hAnsi="宋体" w:cs="宋体"/>
                <w:color w:val="auto"/>
                <w:szCs w:val="21"/>
                <w:highlight w:val="none"/>
              </w:rPr>
            </w:pPr>
            <w:r>
              <w:rPr>
                <w:rFonts w:hint="eastAsia" w:ascii="宋体" w:hAnsi="宋体" w:cs="宋体"/>
                <w:color w:val="auto"/>
                <w:szCs w:val="21"/>
                <w:highlight w:val="none"/>
              </w:rPr>
              <w:t>银行法定代表人或授权代理人（签字）                          年     月     日</w:t>
            </w:r>
          </w:p>
        </w:tc>
      </w:tr>
    </w:tbl>
    <w:p w14:paraId="70E8E220">
      <w:pPr>
        <w:rPr>
          <w:rFonts w:hint="eastAsia" w:ascii="宋体" w:hAnsi="宋体" w:cs="宋体"/>
          <w:color w:val="auto"/>
          <w:szCs w:val="21"/>
          <w:highlight w:val="none"/>
        </w:rPr>
      </w:pPr>
    </w:p>
    <w:p w14:paraId="16463188">
      <w:pPr>
        <w:pStyle w:val="57"/>
        <w:spacing w:line="360" w:lineRule="auto"/>
        <w:rPr>
          <w:rFonts w:hint="eastAsia" w:ascii="宋体" w:hAnsi="宋体" w:eastAsia="宋体" w:cs="宋体"/>
          <w:b/>
          <w:color w:val="auto"/>
          <w:kern w:val="2"/>
          <w:sz w:val="21"/>
          <w:szCs w:val="21"/>
          <w:highlight w:val="none"/>
          <w:lang w:val="en-US"/>
        </w:rPr>
      </w:pPr>
    </w:p>
    <w:p w14:paraId="5AD36727">
      <w:pPr>
        <w:pStyle w:val="57"/>
        <w:spacing w:line="360" w:lineRule="auto"/>
        <w:rPr>
          <w:rFonts w:hint="eastAsia" w:ascii="宋体" w:hAnsi="宋体" w:eastAsia="宋体" w:cs="宋体"/>
          <w:b/>
          <w:color w:val="auto"/>
          <w:kern w:val="2"/>
          <w:sz w:val="21"/>
          <w:szCs w:val="21"/>
          <w:highlight w:val="none"/>
          <w:lang w:val="en-US"/>
        </w:rPr>
      </w:pPr>
    </w:p>
    <w:p w14:paraId="26EC8CF4">
      <w:pPr>
        <w:pStyle w:val="57"/>
        <w:spacing w:line="360" w:lineRule="auto"/>
        <w:rPr>
          <w:rFonts w:hint="eastAsia" w:ascii="宋体" w:hAnsi="宋体" w:eastAsia="宋体" w:cs="宋体"/>
          <w:b/>
          <w:color w:val="auto"/>
          <w:kern w:val="2"/>
          <w:sz w:val="21"/>
          <w:szCs w:val="21"/>
          <w:highlight w:val="none"/>
          <w:lang w:val="en-US"/>
        </w:rPr>
      </w:pPr>
    </w:p>
    <w:p w14:paraId="39488EB3">
      <w:pPr>
        <w:pStyle w:val="57"/>
        <w:spacing w:line="360" w:lineRule="auto"/>
        <w:rPr>
          <w:rFonts w:hint="eastAsia" w:ascii="宋体" w:hAnsi="宋体" w:eastAsia="宋体" w:cs="宋体"/>
          <w:b/>
          <w:color w:val="auto"/>
          <w:kern w:val="2"/>
          <w:sz w:val="21"/>
          <w:szCs w:val="21"/>
          <w:highlight w:val="none"/>
          <w:lang w:val="en-US"/>
        </w:rPr>
      </w:pPr>
      <w:r>
        <w:rPr>
          <w:rFonts w:hint="eastAsia" w:ascii="宋体" w:hAnsi="宋体" w:eastAsia="宋体" w:cs="宋体"/>
          <w:b/>
          <w:color w:val="auto"/>
          <w:kern w:val="2"/>
          <w:sz w:val="21"/>
          <w:szCs w:val="21"/>
          <w:highlight w:val="none"/>
          <w:lang w:val="en-US"/>
        </w:rPr>
        <w:t>（三）贷款业绩：</w:t>
      </w:r>
      <w:r>
        <w:rPr>
          <w:rFonts w:hint="eastAsia" w:ascii="宋体" w:hAnsi="宋体" w:eastAsia="宋体" w:cs="宋体"/>
          <w:bCs/>
          <w:color w:val="auto"/>
          <w:kern w:val="2"/>
          <w:sz w:val="21"/>
          <w:szCs w:val="21"/>
          <w:highlight w:val="none"/>
          <w:lang w:val="en-US"/>
        </w:rPr>
        <w:t>提供加盖银行公章的贷款业绩合同复印件。</w:t>
      </w:r>
    </w:p>
    <w:p w14:paraId="310EB43A">
      <w:pPr>
        <w:pStyle w:val="57"/>
        <w:spacing w:line="360" w:lineRule="auto"/>
        <w:rPr>
          <w:rFonts w:hint="eastAsia" w:ascii="宋体" w:hAnsi="宋体" w:eastAsia="宋体" w:cs="宋体"/>
          <w:b/>
          <w:color w:val="auto"/>
          <w:kern w:val="2"/>
          <w:sz w:val="21"/>
          <w:szCs w:val="21"/>
          <w:highlight w:val="none"/>
          <w:lang w:val="en-US"/>
        </w:rPr>
      </w:pPr>
      <w:r>
        <w:rPr>
          <w:rFonts w:hint="eastAsia" w:ascii="宋体" w:hAnsi="宋体" w:eastAsia="宋体" w:cs="宋体"/>
          <w:b/>
          <w:color w:val="auto"/>
          <w:kern w:val="2"/>
          <w:sz w:val="21"/>
          <w:szCs w:val="21"/>
          <w:highlight w:val="none"/>
          <w:lang w:val="en-US"/>
        </w:rPr>
        <w:t>（</w:t>
      </w:r>
      <w:r>
        <w:rPr>
          <w:rFonts w:hint="eastAsia" w:ascii="宋体" w:hAnsi="宋体" w:eastAsia="宋体" w:cs="宋体"/>
          <w:b/>
          <w:color w:val="auto"/>
          <w:kern w:val="2"/>
          <w:sz w:val="21"/>
          <w:szCs w:val="21"/>
          <w:highlight w:val="none"/>
          <w:lang w:val="en-US" w:eastAsia="zh-CN"/>
        </w:rPr>
        <w:t>四</w:t>
      </w:r>
      <w:r>
        <w:rPr>
          <w:rFonts w:hint="eastAsia" w:ascii="宋体" w:hAnsi="宋体" w:eastAsia="宋体" w:cs="宋体"/>
          <w:b/>
          <w:color w:val="auto"/>
          <w:kern w:val="2"/>
          <w:sz w:val="21"/>
          <w:szCs w:val="21"/>
          <w:highlight w:val="none"/>
          <w:lang w:val="en-US"/>
        </w:rPr>
        <w:t>）信用评级：</w:t>
      </w:r>
      <w:r>
        <w:rPr>
          <w:rFonts w:hint="eastAsia" w:ascii="宋体" w:hAnsi="宋体" w:eastAsia="宋体" w:cs="宋体"/>
          <w:bCs/>
          <w:color w:val="auto"/>
          <w:kern w:val="2"/>
          <w:sz w:val="21"/>
          <w:szCs w:val="21"/>
          <w:highlight w:val="none"/>
          <w:lang w:val="en-US"/>
        </w:rPr>
        <w:t>提供</w:t>
      </w:r>
      <w:r>
        <w:rPr>
          <w:rFonts w:hint="eastAsia" w:ascii="宋体" w:hAnsi="宋体" w:eastAsia="宋体" w:cs="宋体"/>
          <w:bCs/>
          <w:color w:val="auto"/>
          <w:sz w:val="21"/>
          <w:szCs w:val="21"/>
          <w:highlight w:val="none"/>
          <w:lang w:val="en-US"/>
        </w:rPr>
        <w:t>加盖银行公章的</w:t>
      </w:r>
      <w:r>
        <w:rPr>
          <w:rFonts w:hint="eastAsia" w:ascii="宋体" w:hAnsi="宋体" w:eastAsia="宋体" w:cs="宋体"/>
          <w:bCs/>
          <w:color w:val="auto"/>
          <w:kern w:val="2"/>
          <w:sz w:val="21"/>
          <w:szCs w:val="21"/>
          <w:highlight w:val="none"/>
          <w:lang w:val="en-US"/>
        </w:rPr>
        <w:t>银行信用评级证明材料。</w:t>
      </w:r>
    </w:p>
    <w:p w14:paraId="78E71D97">
      <w:pPr>
        <w:pStyle w:val="57"/>
        <w:spacing w:line="360" w:lineRule="auto"/>
        <w:rPr>
          <w:rFonts w:hint="eastAsia" w:ascii="宋体" w:hAnsi="宋体" w:eastAsia="宋体" w:cs="宋体"/>
          <w:bCs/>
          <w:color w:val="auto"/>
          <w:sz w:val="21"/>
          <w:szCs w:val="21"/>
          <w:highlight w:val="none"/>
          <w:lang w:val="en-US"/>
        </w:rPr>
      </w:pPr>
      <w:r>
        <w:rPr>
          <w:rFonts w:hint="eastAsia" w:ascii="宋体" w:hAnsi="宋体" w:eastAsia="宋体" w:cs="宋体"/>
          <w:b/>
          <w:color w:val="auto"/>
          <w:kern w:val="2"/>
          <w:sz w:val="21"/>
          <w:szCs w:val="21"/>
          <w:highlight w:val="none"/>
          <w:lang w:val="en-US"/>
        </w:rPr>
        <w:t>（</w:t>
      </w:r>
      <w:r>
        <w:rPr>
          <w:rFonts w:hint="eastAsia" w:ascii="宋体" w:hAnsi="宋体" w:eastAsia="宋体" w:cs="宋体"/>
          <w:b/>
          <w:color w:val="auto"/>
          <w:kern w:val="2"/>
          <w:sz w:val="21"/>
          <w:szCs w:val="21"/>
          <w:highlight w:val="none"/>
          <w:lang w:val="en-US" w:eastAsia="zh-CN"/>
        </w:rPr>
        <w:t>五</w:t>
      </w:r>
      <w:r>
        <w:rPr>
          <w:rFonts w:hint="eastAsia" w:ascii="宋体" w:hAnsi="宋体" w:eastAsia="宋体" w:cs="宋体"/>
          <w:b/>
          <w:color w:val="auto"/>
          <w:kern w:val="2"/>
          <w:sz w:val="21"/>
          <w:szCs w:val="21"/>
          <w:highlight w:val="none"/>
          <w:lang w:val="en-US"/>
        </w:rPr>
        <w:t>）授信额度：</w:t>
      </w:r>
      <w:r>
        <w:rPr>
          <w:rFonts w:hint="eastAsia" w:ascii="宋体" w:hAnsi="宋体" w:eastAsia="宋体" w:cs="宋体"/>
          <w:bCs/>
          <w:color w:val="auto"/>
          <w:sz w:val="21"/>
          <w:szCs w:val="21"/>
          <w:highlight w:val="none"/>
          <w:lang w:val="en-US"/>
        </w:rPr>
        <w:t>提供加盖银行公章的上级银行授信额度审批书。</w:t>
      </w:r>
    </w:p>
    <w:p w14:paraId="6663DDE4">
      <w:pPr>
        <w:pStyle w:val="57"/>
        <w:spacing w:line="360" w:lineRule="auto"/>
        <w:rPr>
          <w:rFonts w:hint="eastAsia" w:ascii="宋体" w:hAnsi="宋体" w:eastAsia="宋体" w:cs="宋体"/>
          <w:b/>
          <w:color w:val="auto"/>
          <w:sz w:val="21"/>
          <w:szCs w:val="21"/>
          <w:highlight w:val="none"/>
          <w:lang w:val="en-US"/>
        </w:rPr>
      </w:pPr>
      <w:r>
        <w:rPr>
          <w:rFonts w:hint="eastAsia" w:ascii="宋体" w:hAnsi="宋体" w:eastAsia="宋体" w:cs="宋体"/>
          <w:b/>
          <w:color w:val="auto"/>
          <w:sz w:val="21"/>
          <w:szCs w:val="21"/>
          <w:highlight w:val="none"/>
          <w:lang w:val="en-US"/>
        </w:rPr>
        <w:t>（</w:t>
      </w:r>
      <w:r>
        <w:rPr>
          <w:rFonts w:hint="eastAsia" w:ascii="宋体" w:hAnsi="宋体" w:eastAsia="宋体" w:cs="宋体"/>
          <w:b/>
          <w:color w:val="auto"/>
          <w:sz w:val="21"/>
          <w:szCs w:val="21"/>
          <w:highlight w:val="none"/>
          <w:lang w:val="en-US" w:eastAsia="zh-CN"/>
        </w:rPr>
        <w:t>六</w:t>
      </w:r>
      <w:r>
        <w:rPr>
          <w:rFonts w:hint="eastAsia" w:ascii="宋体" w:hAnsi="宋体" w:eastAsia="宋体" w:cs="宋体"/>
          <w:b/>
          <w:color w:val="auto"/>
          <w:sz w:val="21"/>
          <w:szCs w:val="21"/>
          <w:highlight w:val="none"/>
          <w:lang w:val="en-US"/>
        </w:rPr>
        <w:t>）对公转账手续费：</w:t>
      </w:r>
      <w:r>
        <w:rPr>
          <w:rFonts w:hint="eastAsia" w:ascii="宋体" w:hAnsi="宋体" w:eastAsia="宋体" w:cs="宋体"/>
          <w:bCs/>
          <w:color w:val="auto"/>
          <w:sz w:val="21"/>
          <w:szCs w:val="21"/>
          <w:highlight w:val="none"/>
          <w:lang w:val="en-US"/>
        </w:rPr>
        <w:t>提供对公转账手续费说明并加盖银行公章。</w:t>
      </w:r>
    </w:p>
    <w:p w14:paraId="39689E5C">
      <w:pPr>
        <w:pStyle w:val="57"/>
        <w:spacing w:line="360" w:lineRule="auto"/>
        <w:rPr>
          <w:rFonts w:hint="eastAsia" w:ascii="宋体" w:hAnsi="宋体" w:eastAsia="宋体" w:cs="宋体"/>
          <w:b/>
          <w:color w:val="auto"/>
          <w:sz w:val="21"/>
          <w:szCs w:val="21"/>
          <w:highlight w:val="none"/>
          <w:lang w:val="en-US"/>
        </w:rPr>
      </w:pPr>
      <w:r>
        <w:rPr>
          <w:rFonts w:hint="eastAsia" w:ascii="宋体" w:hAnsi="宋体" w:eastAsia="宋体" w:cs="宋体"/>
          <w:b/>
          <w:color w:val="auto"/>
          <w:sz w:val="21"/>
          <w:szCs w:val="21"/>
          <w:highlight w:val="none"/>
          <w:lang w:val="en-US"/>
        </w:rPr>
        <w:t>（</w:t>
      </w:r>
      <w:r>
        <w:rPr>
          <w:rFonts w:hint="eastAsia" w:ascii="宋体" w:hAnsi="宋体" w:eastAsia="宋体" w:cs="宋体"/>
          <w:b/>
          <w:color w:val="auto"/>
          <w:sz w:val="21"/>
          <w:szCs w:val="21"/>
          <w:highlight w:val="none"/>
          <w:lang w:val="en-US" w:eastAsia="zh-CN"/>
        </w:rPr>
        <w:t>七</w:t>
      </w:r>
      <w:r>
        <w:rPr>
          <w:rFonts w:hint="eastAsia" w:ascii="宋体" w:hAnsi="宋体" w:eastAsia="宋体" w:cs="宋体"/>
          <w:b/>
          <w:color w:val="auto"/>
          <w:sz w:val="21"/>
          <w:szCs w:val="21"/>
          <w:highlight w:val="none"/>
          <w:lang w:val="en-US"/>
        </w:rPr>
        <w:t>）贷款资金冻结时间：</w:t>
      </w:r>
      <w:r>
        <w:rPr>
          <w:rFonts w:hint="eastAsia" w:ascii="宋体" w:hAnsi="宋体" w:eastAsia="宋体" w:cs="宋体"/>
          <w:bCs/>
          <w:color w:val="auto"/>
          <w:sz w:val="21"/>
          <w:szCs w:val="21"/>
          <w:highlight w:val="none"/>
          <w:lang w:val="en-US"/>
        </w:rPr>
        <w:t>提供承诺函原件（格式如下）</w:t>
      </w:r>
    </w:p>
    <w:p w14:paraId="152FBB41">
      <w:pPr>
        <w:spacing w:line="360" w:lineRule="auto"/>
        <w:jc w:val="center"/>
        <w:rPr>
          <w:rFonts w:hint="eastAsia" w:ascii="宋体" w:hAnsi="宋体" w:cs="宋体"/>
          <w:color w:val="auto"/>
          <w:szCs w:val="21"/>
          <w:highlight w:val="none"/>
        </w:rPr>
      </w:pPr>
      <w:r>
        <w:rPr>
          <w:rFonts w:hint="eastAsia" w:ascii="宋体" w:hAnsi="宋体" w:cs="宋体"/>
          <w:b/>
          <w:bCs/>
          <w:color w:val="auto"/>
          <w:szCs w:val="21"/>
          <w:highlight w:val="none"/>
        </w:rPr>
        <w:t>放款时效承诺书</w:t>
      </w:r>
    </w:p>
    <w:p w14:paraId="1D7B0876">
      <w:pPr>
        <w:spacing w:line="360" w:lineRule="auto"/>
        <w:rPr>
          <w:rFonts w:hint="eastAsia" w:ascii="宋体" w:hAnsi="宋体" w:cs="宋体"/>
          <w:color w:val="auto"/>
          <w:szCs w:val="21"/>
          <w:highlight w:val="none"/>
          <w:lang w:val="zh-CN"/>
        </w:rPr>
      </w:pPr>
      <w:r>
        <w:rPr>
          <w:rFonts w:hint="eastAsia" w:ascii="宋体" w:hAnsi="宋体" w:cs="宋体"/>
          <w:color w:val="auto"/>
          <w:szCs w:val="21"/>
          <w:highlight w:val="none"/>
        </w:rPr>
        <w:t>南京市溧水区人民医院</w:t>
      </w:r>
      <w:r>
        <w:rPr>
          <w:rFonts w:hint="eastAsia" w:ascii="宋体" w:hAnsi="宋体" w:cs="宋体"/>
          <w:color w:val="auto"/>
          <w:szCs w:val="21"/>
          <w:highlight w:val="none"/>
          <w:lang w:val="zh-CN"/>
        </w:rPr>
        <w:t>：</w:t>
      </w:r>
    </w:p>
    <w:p w14:paraId="0CFFA278">
      <w:pPr>
        <w:spacing w:line="360" w:lineRule="auto"/>
        <w:ind w:firstLine="840" w:firstLineChars="400"/>
        <w:rPr>
          <w:rFonts w:hint="eastAsia" w:ascii="宋体" w:hAnsi="宋体" w:cs="宋体"/>
          <w:color w:val="auto"/>
          <w:szCs w:val="21"/>
          <w:highlight w:val="none"/>
        </w:rPr>
      </w:pPr>
      <w:r>
        <w:rPr>
          <w:rFonts w:hint="eastAsia" w:ascii="宋体" w:hAnsi="宋体" w:cs="宋体"/>
          <w:color w:val="auto"/>
          <w:szCs w:val="21"/>
          <w:highlight w:val="none"/>
        </w:rPr>
        <w:t>我行详细阅读</w:t>
      </w:r>
      <w:r>
        <w:rPr>
          <w:rFonts w:hint="eastAsia" w:ascii="宋体" w:hAnsi="宋体" w:cs="宋体"/>
          <w:color w:val="auto"/>
          <w:szCs w:val="21"/>
          <w:highlight w:val="none"/>
          <w:lang w:val="zh-CN"/>
        </w:rPr>
        <w:t>“南京市溧水区人民医院2026年第二批银行贷款项目</w:t>
      </w:r>
      <w:r>
        <w:rPr>
          <w:rFonts w:hint="eastAsia" w:ascii="宋体" w:hAnsi="宋体" w:cs="宋体"/>
          <w:color w:val="auto"/>
          <w:szCs w:val="21"/>
          <w:highlight w:val="none"/>
        </w:rPr>
        <w:t>”磋商文件有关要求</w:t>
      </w:r>
      <w:r>
        <w:rPr>
          <w:rFonts w:hint="eastAsia" w:ascii="宋体" w:hAnsi="宋体" w:cs="宋体"/>
          <w:color w:val="auto"/>
          <w:szCs w:val="21"/>
          <w:highlight w:val="none"/>
          <w:lang w:val="zh-CN"/>
        </w:rPr>
        <w:t>，</w:t>
      </w:r>
      <w:r>
        <w:rPr>
          <w:rFonts w:hint="eastAsia" w:ascii="宋体" w:hAnsi="宋体" w:cs="宋体"/>
          <w:color w:val="auto"/>
          <w:szCs w:val="21"/>
          <w:highlight w:val="none"/>
        </w:rPr>
        <w:t>现作出如下承诺：</w:t>
      </w:r>
    </w:p>
    <w:p w14:paraId="041735CA">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1.放款流程：......（各银行根据本行流程自拟）。</w:t>
      </w:r>
    </w:p>
    <w:p w14:paraId="19FD24C4">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2.放款所需材料清单：......（各银行根据本行流程自拟）。</w:t>
      </w:r>
    </w:p>
    <w:p w14:paraId="49B70164">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3.我行放款时效承诺：......</w:t>
      </w:r>
      <w:r>
        <w:rPr>
          <w:rFonts w:hint="eastAsia" w:ascii="宋体" w:hAnsi="宋体" w:cs="宋体"/>
          <w:color w:val="auto"/>
          <w:szCs w:val="21"/>
          <w:highlight w:val="none"/>
        </w:rPr>
        <w:t>（</w:t>
      </w:r>
      <w:r>
        <w:rPr>
          <w:rFonts w:hint="eastAsia" w:ascii="宋体" w:hAnsi="宋体" w:cs="宋体"/>
          <w:bCs/>
          <w:color w:val="auto"/>
          <w:szCs w:val="21"/>
          <w:highlight w:val="none"/>
        </w:rPr>
        <w:t>例如：我行承诺</w:t>
      </w:r>
      <w:r>
        <w:rPr>
          <w:rFonts w:hint="eastAsia" w:ascii="宋体" w:hAnsi="宋体" w:cs="宋体"/>
          <w:color w:val="auto"/>
          <w:szCs w:val="21"/>
          <w:highlight w:val="none"/>
        </w:rPr>
        <w:t>实现资金即时到账、无冻结限制。或者：我行放款限制条件为......）</w:t>
      </w:r>
    </w:p>
    <w:p w14:paraId="50C2D343">
      <w:pPr>
        <w:spacing w:line="400" w:lineRule="exact"/>
        <w:ind w:firstLine="3150" w:firstLineChars="1500"/>
        <w:jc w:val="right"/>
        <w:rPr>
          <w:rFonts w:hint="eastAsia" w:ascii="宋体" w:hAnsi="宋体" w:cs="宋体"/>
          <w:color w:val="auto"/>
          <w:szCs w:val="21"/>
          <w:highlight w:val="none"/>
        </w:rPr>
      </w:pPr>
    </w:p>
    <w:p w14:paraId="16FCD5D7">
      <w:pPr>
        <w:spacing w:line="400" w:lineRule="exact"/>
        <w:ind w:firstLine="3150" w:firstLineChars="1500"/>
        <w:jc w:val="righ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银行被授权人（授权代理人签字）</w:t>
      </w:r>
      <w:r>
        <w:rPr>
          <w:rFonts w:hint="eastAsia" w:ascii="宋体" w:hAnsi="宋体" w:cs="宋体"/>
          <w:color w:val="auto"/>
          <w:szCs w:val="21"/>
          <w:highlight w:val="none"/>
        </w:rPr>
        <w:t>：</w:t>
      </w:r>
    </w:p>
    <w:p w14:paraId="46EC9736">
      <w:pPr>
        <w:spacing w:line="400" w:lineRule="exact"/>
        <w:ind w:firstLine="420" w:firstLineChars="200"/>
        <w:jc w:val="right"/>
        <w:rPr>
          <w:rFonts w:hint="eastAsia" w:ascii="宋体" w:hAnsi="宋体" w:cs="宋体"/>
          <w:color w:val="auto"/>
          <w:szCs w:val="21"/>
          <w:highlight w:val="none"/>
        </w:rPr>
      </w:pPr>
    </w:p>
    <w:p w14:paraId="364A6199">
      <w:pPr>
        <w:spacing w:line="400" w:lineRule="exact"/>
        <w:ind w:firstLine="420" w:firstLineChars="200"/>
        <w:jc w:val="right"/>
        <w:rPr>
          <w:rFonts w:hint="eastAsia" w:ascii="宋体" w:hAnsi="宋体" w:cs="宋体"/>
          <w:color w:val="auto"/>
          <w:szCs w:val="21"/>
          <w:highlight w:val="none"/>
        </w:rPr>
      </w:pPr>
      <w:r>
        <w:rPr>
          <w:rFonts w:hint="eastAsia" w:ascii="宋体" w:hAnsi="宋体" w:cs="宋体"/>
          <w:color w:val="auto"/>
          <w:szCs w:val="21"/>
          <w:highlight w:val="none"/>
        </w:rPr>
        <w:t>银行名称（公章）：</w:t>
      </w:r>
    </w:p>
    <w:p w14:paraId="2156A5A8">
      <w:pPr>
        <w:wordWrap w:val="0"/>
        <w:spacing w:line="400" w:lineRule="exact"/>
        <w:ind w:firstLine="420" w:firstLineChars="200"/>
        <w:jc w:val="right"/>
        <w:rPr>
          <w:rFonts w:hint="eastAsia" w:ascii="宋体" w:hAnsi="宋体" w:cs="宋体"/>
          <w:color w:val="auto"/>
          <w:szCs w:val="21"/>
          <w:highlight w:val="none"/>
        </w:rPr>
      </w:pPr>
    </w:p>
    <w:p w14:paraId="25819D35">
      <w:pPr>
        <w:jc w:val="right"/>
        <w:rPr>
          <w:rFonts w:hint="eastAsia" w:ascii="宋体" w:hAnsi="宋体"/>
          <w:color w:val="auto"/>
          <w:sz w:val="24"/>
          <w:highlight w:val="none"/>
        </w:rPr>
      </w:pPr>
      <w:r>
        <w:rPr>
          <w:rFonts w:hint="eastAsia" w:ascii="宋体" w:hAnsi="宋体" w:cs="宋体"/>
          <w:color w:val="auto"/>
          <w:szCs w:val="21"/>
          <w:highlight w:val="none"/>
        </w:rPr>
        <w:t>2026年  月  日</w:t>
      </w:r>
    </w:p>
    <w:p w14:paraId="73F4D03E">
      <w:pPr>
        <w:pStyle w:val="57"/>
        <w:spacing w:line="360" w:lineRule="auto"/>
        <w:rPr>
          <w:rFonts w:hint="eastAsia" w:ascii="宋体" w:hAnsi="宋体" w:eastAsia="宋体" w:cs="宋体"/>
          <w:b/>
          <w:color w:val="auto"/>
          <w:sz w:val="21"/>
          <w:szCs w:val="21"/>
          <w:highlight w:val="none"/>
          <w:lang w:val="en-US"/>
        </w:rPr>
      </w:pPr>
      <w:r>
        <w:rPr>
          <w:rFonts w:hint="eastAsia" w:ascii="宋体" w:hAnsi="宋体" w:eastAsia="宋体" w:cs="宋体"/>
          <w:b/>
          <w:color w:val="auto"/>
          <w:sz w:val="21"/>
          <w:szCs w:val="21"/>
          <w:highlight w:val="none"/>
          <w:lang w:val="en-US"/>
        </w:rPr>
        <w:t>（</w:t>
      </w:r>
      <w:r>
        <w:rPr>
          <w:rFonts w:hint="eastAsia" w:ascii="宋体" w:hAnsi="宋体" w:eastAsia="宋体" w:cs="宋体"/>
          <w:b/>
          <w:color w:val="auto"/>
          <w:sz w:val="21"/>
          <w:szCs w:val="21"/>
          <w:highlight w:val="none"/>
          <w:lang w:val="en-US" w:eastAsia="zh-CN"/>
        </w:rPr>
        <w:t>八</w:t>
      </w:r>
      <w:r>
        <w:rPr>
          <w:rFonts w:hint="eastAsia" w:ascii="宋体" w:hAnsi="宋体" w:eastAsia="宋体" w:cs="宋体"/>
          <w:b/>
          <w:color w:val="auto"/>
          <w:sz w:val="21"/>
          <w:szCs w:val="21"/>
          <w:highlight w:val="none"/>
          <w:lang w:val="en-US"/>
        </w:rPr>
        <w:t>）服务方案：</w:t>
      </w:r>
    </w:p>
    <w:p w14:paraId="5D406759">
      <w:pPr>
        <w:jc w:val="center"/>
        <w:rPr>
          <w:rFonts w:hint="eastAsia" w:ascii="宋体" w:hAnsi="宋体" w:cs="宋体"/>
          <w:color w:val="auto"/>
          <w:szCs w:val="21"/>
          <w:highlight w:val="none"/>
          <w:lang w:val="zh-CN"/>
        </w:rPr>
      </w:pPr>
      <w:r>
        <w:rPr>
          <w:rFonts w:hint="eastAsia" w:ascii="宋体" w:hAnsi="宋体" w:cs="宋体"/>
          <w:b/>
          <w:color w:val="auto"/>
          <w:szCs w:val="21"/>
          <w:highlight w:val="none"/>
        </w:rPr>
        <w:t>服务方案</w:t>
      </w:r>
    </w:p>
    <w:p w14:paraId="7FACF435">
      <w:pPr>
        <w:rPr>
          <w:rFonts w:hint="eastAsia" w:ascii="宋体" w:hAnsi="宋体" w:cs="宋体"/>
          <w:color w:val="auto"/>
          <w:szCs w:val="21"/>
          <w:highlight w:val="none"/>
          <w:lang w:val="zh-CN"/>
        </w:rPr>
      </w:pPr>
    </w:p>
    <w:p w14:paraId="47972331">
      <w:pPr>
        <w:pStyle w:val="57"/>
        <w:spacing w:line="360" w:lineRule="auto"/>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zh-CN" w:eastAsia="zh-CN" w:bidi="ar-SA"/>
        </w:rPr>
        <w:t>南京市溧水区人民医院：</w:t>
      </w:r>
    </w:p>
    <w:p w14:paraId="1741140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我行详细阅读</w:t>
      </w:r>
      <w:r>
        <w:rPr>
          <w:rFonts w:hint="eastAsia" w:ascii="宋体" w:hAnsi="宋体" w:cs="宋体"/>
          <w:color w:val="auto"/>
          <w:szCs w:val="21"/>
          <w:highlight w:val="none"/>
          <w:lang w:val="zh-CN"/>
        </w:rPr>
        <w:t>“南京市溧水区人民医院2026年第二批银行贷款项目</w:t>
      </w:r>
      <w:r>
        <w:rPr>
          <w:rFonts w:hint="eastAsia" w:ascii="宋体" w:hAnsi="宋体" w:cs="宋体"/>
          <w:color w:val="auto"/>
          <w:szCs w:val="21"/>
          <w:highlight w:val="none"/>
        </w:rPr>
        <w:t>”磋商文件</w:t>
      </w:r>
      <w:r>
        <w:rPr>
          <w:rFonts w:hint="eastAsia" w:ascii="宋体" w:hAnsi="宋体" w:cs="宋体"/>
          <w:color w:val="auto"/>
          <w:szCs w:val="21"/>
          <w:highlight w:val="none"/>
          <w:lang w:eastAsia="zh-CN"/>
        </w:rPr>
        <w:t>，三、成交标准</w:t>
      </w:r>
      <w:r>
        <w:rPr>
          <w:rFonts w:hint="eastAsia" w:ascii="宋体" w:hAnsi="宋体" w:cs="宋体"/>
          <w:color w:val="auto"/>
          <w:szCs w:val="21"/>
          <w:highlight w:val="none"/>
          <w:lang w:val="en-US" w:eastAsia="zh-CN"/>
        </w:rPr>
        <w:t>中第7项“服务方案”</w:t>
      </w:r>
      <w:r>
        <w:rPr>
          <w:rFonts w:hint="eastAsia" w:ascii="宋体" w:hAnsi="宋体" w:cs="宋体"/>
          <w:color w:val="auto"/>
          <w:szCs w:val="21"/>
          <w:highlight w:val="none"/>
        </w:rPr>
        <w:t>有关</w:t>
      </w:r>
      <w:r>
        <w:rPr>
          <w:rFonts w:hint="eastAsia" w:ascii="宋体" w:hAnsi="宋体" w:cs="宋体"/>
          <w:color w:val="auto"/>
          <w:szCs w:val="21"/>
          <w:highlight w:val="none"/>
          <w:lang w:val="en-US" w:eastAsia="zh-CN"/>
        </w:rPr>
        <w:t>内容和要求</w:t>
      </w:r>
      <w:r>
        <w:rPr>
          <w:rFonts w:hint="eastAsia" w:ascii="宋体" w:hAnsi="宋体" w:cs="宋体"/>
          <w:color w:val="auto"/>
          <w:szCs w:val="21"/>
          <w:highlight w:val="none"/>
          <w:lang w:val="zh-CN"/>
        </w:rPr>
        <w:t>，结合我行实际运营情况，现就本次服务投入情况作如下</w:t>
      </w:r>
      <w:r>
        <w:rPr>
          <w:rFonts w:hint="eastAsia" w:ascii="宋体" w:hAnsi="宋体" w:cs="宋体"/>
          <w:color w:val="auto"/>
          <w:szCs w:val="21"/>
          <w:highlight w:val="none"/>
          <w:lang w:val="en-US" w:eastAsia="zh-CN"/>
        </w:rPr>
        <w:t>规划</w:t>
      </w:r>
      <w:r>
        <w:rPr>
          <w:rFonts w:hint="eastAsia" w:ascii="宋体" w:hAnsi="宋体" w:cs="宋体"/>
          <w:color w:val="auto"/>
          <w:szCs w:val="21"/>
          <w:highlight w:val="none"/>
        </w:rPr>
        <w:t>：</w:t>
      </w:r>
    </w:p>
    <w:p w14:paraId="7EF19773">
      <w:pPr>
        <w:pStyle w:val="57"/>
        <w:spacing w:line="360" w:lineRule="auto"/>
        <w:ind w:firstLine="48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w:t>
      </w:r>
      <w:r>
        <w:rPr>
          <w:rFonts w:hint="eastAsia" w:ascii="宋体" w:hAnsi="宋体" w:eastAsia="宋体" w:cs="宋体"/>
          <w:bCs/>
          <w:color w:val="auto"/>
          <w:sz w:val="21"/>
          <w:szCs w:val="21"/>
          <w:highlight w:val="none"/>
          <w:lang w:val="en-US" w:eastAsia="zh-CN"/>
        </w:rPr>
        <w:t>... ...</w:t>
      </w:r>
    </w:p>
    <w:p w14:paraId="2F3D44AE">
      <w:pPr>
        <w:pStyle w:val="57"/>
        <w:spacing w:line="360" w:lineRule="auto"/>
        <w:ind w:firstLine="48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w:t>
      </w:r>
      <w:r>
        <w:rPr>
          <w:rFonts w:hint="eastAsia" w:ascii="宋体" w:hAnsi="宋体" w:eastAsia="宋体" w:cs="宋体"/>
          <w:bCs/>
          <w:color w:val="auto"/>
          <w:sz w:val="21"/>
          <w:szCs w:val="21"/>
          <w:highlight w:val="none"/>
          <w:lang w:val="en-US" w:eastAsia="zh-CN"/>
        </w:rPr>
        <w:t>... ...</w:t>
      </w:r>
    </w:p>
    <w:p w14:paraId="0A95F74A">
      <w:pPr>
        <w:pStyle w:val="57"/>
        <w:spacing w:line="360" w:lineRule="auto"/>
        <w:ind w:firstLine="480" w:firstLineChars="200"/>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3.</w:t>
      </w:r>
      <w:r>
        <w:rPr>
          <w:rFonts w:hint="eastAsia" w:ascii="宋体" w:hAnsi="宋体" w:eastAsia="宋体" w:cs="宋体"/>
          <w:bCs/>
          <w:color w:val="auto"/>
          <w:sz w:val="21"/>
          <w:szCs w:val="21"/>
          <w:highlight w:val="none"/>
          <w:lang w:val="en-US" w:eastAsia="zh-CN"/>
        </w:rPr>
        <w:t>... ...</w:t>
      </w:r>
    </w:p>
    <w:p w14:paraId="0528659B">
      <w:pPr>
        <w:spacing w:line="400" w:lineRule="exact"/>
        <w:ind w:firstLine="3150" w:firstLineChars="1500"/>
        <w:jc w:val="righ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银行被授权人（授权代理人签字）</w:t>
      </w:r>
      <w:r>
        <w:rPr>
          <w:rFonts w:hint="eastAsia" w:ascii="宋体" w:hAnsi="宋体" w:cs="宋体"/>
          <w:color w:val="auto"/>
          <w:szCs w:val="21"/>
          <w:highlight w:val="none"/>
        </w:rPr>
        <w:t>：</w:t>
      </w:r>
    </w:p>
    <w:p w14:paraId="64EC24C1">
      <w:pPr>
        <w:spacing w:line="400" w:lineRule="exact"/>
        <w:ind w:firstLine="420" w:firstLineChars="200"/>
        <w:jc w:val="right"/>
        <w:rPr>
          <w:rFonts w:hint="eastAsia" w:ascii="宋体" w:hAnsi="宋体" w:cs="宋体"/>
          <w:color w:val="auto"/>
          <w:szCs w:val="21"/>
          <w:highlight w:val="none"/>
        </w:rPr>
      </w:pPr>
      <w:r>
        <w:rPr>
          <w:rFonts w:hint="eastAsia" w:ascii="宋体" w:hAnsi="宋体" w:cs="宋体"/>
          <w:color w:val="auto"/>
          <w:szCs w:val="21"/>
          <w:highlight w:val="none"/>
        </w:rPr>
        <w:t>银行名称（公章）：</w:t>
      </w:r>
    </w:p>
    <w:p w14:paraId="0075A97F">
      <w:pPr>
        <w:jc w:val="right"/>
        <w:rPr>
          <w:rFonts w:hint="eastAsia" w:ascii="宋体" w:hAnsi="宋体"/>
          <w:color w:val="auto"/>
          <w:sz w:val="24"/>
          <w:highlight w:val="none"/>
        </w:rPr>
      </w:pPr>
      <w:r>
        <w:rPr>
          <w:rFonts w:hint="eastAsia" w:ascii="宋体" w:hAnsi="宋体" w:cs="宋体"/>
          <w:color w:val="auto"/>
          <w:szCs w:val="21"/>
          <w:highlight w:val="none"/>
        </w:rPr>
        <w:t>2026年  月  日</w:t>
      </w:r>
    </w:p>
    <w:p w14:paraId="549EE1A2">
      <w:pPr>
        <w:pStyle w:val="57"/>
        <w:spacing w:line="360" w:lineRule="auto"/>
        <w:rPr>
          <w:rFonts w:hint="eastAsia" w:ascii="宋体" w:hAnsi="宋体" w:eastAsia="宋体" w:cs="宋体"/>
          <w:bCs/>
          <w:color w:val="auto"/>
          <w:sz w:val="21"/>
          <w:szCs w:val="21"/>
          <w:highlight w:val="none"/>
          <w:lang w:val="en-US"/>
        </w:rPr>
      </w:pPr>
      <w:r>
        <w:rPr>
          <w:rFonts w:hint="eastAsia" w:ascii="宋体" w:hAnsi="宋体" w:eastAsia="宋体" w:cs="宋体"/>
          <w:bCs/>
          <w:color w:val="auto"/>
          <w:sz w:val="21"/>
          <w:szCs w:val="21"/>
          <w:highlight w:val="none"/>
          <w:lang w:val="en-US"/>
        </w:rPr>
        <w:t>服务方案响应说明：</w:t>
      </w:r>
    </w:p>
    <w:p w14:paraId="1BB11C6B">
      <w:pPr>
        <w:pStyle w:val="57"/>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rPr>
        <w:t>1.</w:t>
      </w:r>
      <w:r>
        <w:rPr>
          <w:rFonts w:hint="eastAsia" w:ascii="宋体" w:hAnsi="宋体" w:eastAsia="宋体" w:cs="宋体"/>
          <w:bCs/>
          <w:color w:val="auto"/>
          <w:sz w:val="21"/>
          <w:szCs w:val="21"/>
          <w:highlight w:val="none"/>
        </w:rPr>
        <w:t>银行方为本项目提供的服务方案包括但不限于：</w:t>
      </w:r>
      <w:r>
        <w:rPr>
          <w:rFonts w:hint="eastAsia" w:ascii="宋体" w:hAnsi="宋体" w:eastAsia="宋体" w:cs="宋体"/>
          <w:bCs/>
          <w:color w:val="auto"/>
          <w:sz w:val="21"/>
          <w:szCs w:val="21"/>
          <w:highlight w:val="none"/>
          <w:lang w:val="en-US"/>
        </w:rPr>
        <w:t xml:space="preserve"> </w:t>
      </w:r>
      <w:r>
        <w:rPr>
          <w:rFonts w:hint="eastAsia" w:ascii="宋体" w:hAnsi="宋体" w:eastAsia="宋体" w:cs="宋体"/>
          <w:bCs/>
          <w:color w:val="auto"/>
          <w:sz w:val="21"/>
          <w:szCs w:val="21"/>
          <w:highlight w:val="none"/>
        </w:rPr>
        <w:t>业务拓展、技术支持、运行保障、资源配置等。方案要求务实可行、可落地执行。</w:t>
      </w:r>
    </w:p>
    <w:p w14:paraId="23BDEC25">
      <w:pPr>
        <w:pStyle w:val="57"/>
        <w:spacing w:line="360" w:lineRule="auto"/>
        <w:ind w:firstLine="420" w:firstLineChars="200"/>
        <w:rPr>
          <w:rFonts w:hint="eastAsia" w:ascii="宋体" w:hAnsi="宋体" w:eastAsia="宋体" w:cs="宋体"/>
          <w:bCs/>
          <w:color w:val="auto"/>
          <w:sz w:val="21"/>
          <w:szCs w:val="21"/>
          <w:highlight w:val="none"/>
          <w:lang w:val="en-US"/>
        </w:rPr>
      </w:pPr>
      <w:r>
        <w:rPr>
          <w:rFonts w:hint="eastAsia" w:ascii="宋体" w:hAnsi="宋体" w:eastAsia="宋体" w:cs="宋体"/>
          <w:bCs/>
          <w:color w:val="auto"/>
          <w:sz w:val="21"/>
          <w:szCs w:val="21"/>
          <w:highlight w:val="none"/>
          <w:lang w:val="en-US"/>
        </w:rPr>
        <w:t>2.医院作为本次合作的采购主体，拥有完全自主决策权，可独立自主选择服务供给形式、合作模式及服务对接对象，银行方不对本服务方案的落地实施、合作范围、运作方式等作出任何限制性约定与干预。</w:t>
      </w:r>
    </w:p>
    <w:p w14:paraId="70DB4AB1">
      <w:pPr>
        <w:pStyle w:val="57"/>
        <w:spacing w:line="360" w:lineRule="auto"/>
        <w:ind w:firstLine="420" w:firstLineChars="200"/>
        <w:rPr>
          <w:rFonts w:hint="eastAsia" w:ascii="宋体" w:hAnsi="宋体" w:eastAsia="宋体" w:cs="宋体"/>
          <w:bCs/>
          <w:color w:val="auto"/>
          <w:sz w:val="21"/>
          <w:szCs w:val="21"/>
          <w:highlight w:val="none"/>
          <w:lang w:val="en-US"/>
        </w:rPr>
      </w:pPr>
      <w:r>
        <w:rPr>
          <w:rFonts w:hint="eastAsia" w:ascii="宋体" w:hAnsi="宋体" w:eastAsia="宋体" w:cs="宋体"/>
          <w:bCs/>
          <w:color w:val="auto"/>
          <w:sz w:val="21"/>
          <w:szCs w:val="21"/>
          <w:highlight w:val="none"/>
          <w:lang w:val="en-US" w:eastAsia="zh-CN"/>
        </w:rPr>
        <w:t>3</w:t>
      </w:r>
      <w:r>
        <w:rPr>
          <w:rFonts w:hint="eastAsia" w:ascii="宋体" w:hAnsi="宋体" w:eastAsia="宋体" w:cs="宋体"/>
          <w:bCs/>
          <w:color w:val="auto"/>
          <w:sz w:val="21"/>
          <w:szCs w:val="21"/>
          <w:highlight w:val="none"/>
          <w:lang w:val="en-US"/>
        </w:rPr>
        <w:t>.</w:t>
      </w:r>
      <w:r>
        <w:rPr>
          <w:rFonts w:hint="eastAsia" w:ascii="宋体" w:hAnsi="宋体" w:eastAsia="宋体" w:cs="宋体"/>
          <w:bCs/>
          <w:color w:val="auto"/>
          <w:sz w:val="21"/>
          <w:szCs w:val="21"/>
          <w:highlight w:val="none"/>
          <w:lang w:val="en-US" w:eastAsia="zh-CN"/>
        </w:rPr>
        <w:t>银行方</w:t>
      </w:r>
      <w:r>
        <w:rPr>
          <w:rFonts w:hint="eastAsia" w:ascii="宋体" w:hAnsi="宋体" w:eastAsia="宋体" w:cs="宋体"/>
          <w:bCs/>
          <w:color w:val="auto"/>
          <w:sz w:val="21"/>
          <w:szCs w:val="21"/>
          <w:highlight w:val="none"/>
          <w:lang w:val="en-US"/>
        </w:rPr>
        <w:t>自愿响应并承接本服务方案，即视为充分知晓、完全认可并自愿遵守上述全部要求及约定，无任何异议，且严格按照本方案条款开展相关服务工作。</w:t>
      </w:r>
    </w:p>
    <w:p w14:paraId="4C93F3B6">
      <w:pPr>
        <w:pStyle w:val="57"/>
        <w:spacing w:line="360" w:lineRule="auto"/>
        <w:rPr>
          <w:rFonts w:hint="eastAsia" w:ascii="宋体" w:hAnsi="宋体" w:eastAsia="宋体" w:cs="宋体"/>
          <w:b/>
          <w:color w:val="auto"/>
          <w:sz w:val="21"/>
          <w:szCs w:val="21"/>
          <w:highlight w:val="none"/>
          <w:lang w:val="en-US"/>
        </w:rPr>
      </w:pPr>
    </w:p>
    <w:p w14:paraId="18911ED9">
      <w:pPr>
        <w:pStyle w:val="57"/>
        <w:spacing w:line="360" w:lineRule="auto"/>
        <w:rPr>
          <w:rFonts w:hint="eastAsia" w:ascii="宋体" w:hAnsi="宋体" w:eastAsia="宋体" w:cs="宋体"/>
          <w:b/>
          <w:color w:val="auto"/>
          <w:sz w:val="21"/>
          <w:szCs w:val="21"/>
          <w:highlight w:val="none"/>
          <w:lang w:val="en-US"/>
        </w:rPr>
      </w:pPr>
      <w:r>
        <w:rPr>
          <w:rFonts w:hint="eastAsia" w:ascii="宋体" w:hAnsi="宋体" w:eastAsia="宋体" w:cs="宋体"/>
          <w:b/>
          <w:color w:val="auto"/>
          <w:sz w:val="21"/>
          <w:szCs w:val="21"/>
          <w:highlight w:val="none"/>
          <w:lang w:val="en-US"/>
        </w:rPr>
        <w:t>（</w:t>
      </w:r>
      <w:r>
        <w:rPr>
          <w:rFonts w:hint="eastAsia" w:ascii="宋体" w:hAnsi="宋体" w:eastAsia="宋体" w:cs="宋体"/>
          <w:b/>
          <w:color w:val="auto"/>
          <w:sz w:val="21"/>
          <w:szCs w:val="21"/>
          <w:highlight w:val="none"/>
          <w:lang w:val="en-US" w:eastAsia="zh-CN"/>
        </w:rPr>
        <w:t>九</w:t>
      </w:r>
      <w:r>
        <w:rPr>
          <w:rFonts w:hint="eastAsia" w:ascii="宋体" w:hAnsi="宋体" w:eastAsia="宋体" w:cs="宋体"/>
          <w:b/>
          <w:color w:val="auto"/>
          <w:sz w:val="21"/>
          <w:szCs w:val="21"/>
          <w:highlight w:val="none"/>
          <w:lang w:val="en-US"/>
        </w:rPr>
        <w:t>）储户风险保障方案：</w:t>
      </w:r>
      <w:r>
        <w:rPr>
          <w:rFonts w:hint="eastAsia" w:ascii="宋体" w:hAnsi="宋体" w:eastAsia="宋体" w:cs="宋体"/>
          <w:bCs/>
          <w:color w:val="auto"/>
          <w:sz w:val="21"/>
          <w:szCs w:val="21"/>
          <w:highlight w:val="none"/>
          <w:lang w:val="en-US"/>
        </w:rPr>
        <w:t>各银行根据得分要点，格式自拟。</w:t>
      </w:r>
    </w:p>
    <w:p w14:paraId="56A90AE2">
      <w:pPr>
        <w:pStyle w:val="57"/>
        <w:spacing w:line="360" w:lineRule="auto"/>
        <w:rPr>
          <w:rFonts w:hint="eastAsia" w:ascii="宋体" w:hAnsi="宋体" w:eastAsia="宋体" w:cs="宋体"/>
          <w:bCs/>
          <w:color w:val="auto"/>
          <w:sz w:val="21"/>
          <w:szCs w:val="21"/>
          <w:highlight w:val="none"/>
          <w:lang w:val="en-US"/>
        </w:rPr>
      </w:pPr>
      <w:r>
        <w:rPr>
          <w:rFonts w:hint="eastAsia" w:ascii="宋体" w:hAnsi="宋体" w:eastAsia="宋体" w:cs="宋体"/>
          <w:b/>
          <w:color w:val="auto"/>
          <w:sz w:val="21"/>
          <w:szCs w:val="21"/>
          <w:highlight w:val="none"/>
          <w:lang w:val="en-US"/>
        </w:rPr>
        <w:t>（</w:t>
      </w:r>
      <w:r>
        <w:rPr>
          <w:rFonts w:hint="eastAsia" w:ascii="宋体" w:hAnsi="宋体" w:eastAsia="宋体" w:cs="宋体"/>
          <w:b/>
          <w:color w:val="auto"/>
          <w:sz w:val="21"/>
          <w:szCs w:val="21"/>
          <w:highlight w:val="none"/>
          <w:lang w:val="en-US" w:eastAsia="zh-CN"/>
        </w:rPr>
        <w:t>十</w:t>
      </w:r>
      <w:r>
        <w:rPr>
          <w:rFonts w:hint="eastAsia" w:ascii="宋体" w:hAnsi="宋体" w:eastAsia="宋体" w:cs="宋体"/>
          <w:b/>
          <w:color w:val="auto"/>
          <w:sz w:val="21"/>
          <w:szCs w:val="21"/>
          <w:highlight w:val="none"/>
          <w:lang w:val="en-US"/>
        </w:rPr>
        <w:t>）服务管理与履约保障：</w:t>
      </w:r>
      <w:r>
        <w:rPr>
          <w:rFonts w:hint="eastAsia" w:ascii="宋体" w:hAnsi="宋体" w:eastAsia="宋体" w:cs="宋体"/>
          <w:bCs/>
          <w:color w:val="auto"/>
          <w:sz w:val="21"/>
          <w:szCs w:val="21"/>
          <w:highlight w:val="none"/>
          <w:lang w:val="en-US"/>
        </w:rPr>
        <w:t>各银行根据得分要点，格式自拟。</w:t>
      </w:r>
    </w:p>
    <w:p w14:paraId="398C2647">
      <w:pPr>
        <w:pStyle w:val="57"/>
        <w:spacing w:line="360" w:lineRule="auto"/>
        <w:rPr>
          <w:rFonts w:hint="eastAsia" w:ascii="宋体" w:hAnsi="宋体" w:eastAsia="宋体" w:cs="宋体"/>
          <w:b/>
          <w:color w:val="auto"/>
          <w:sz w:val="21"/>
          <w:szCs w:val="21"/>
          <w:highlight w:val="none"/>
          <w:lang w:val="en-US"/>
        </w:rPr>
      </w:pPr>
      <w:r>
        <w:rPr>
          <w:rFonts w:hint="eastAsia" w:ascii="宋体" w:hAnsi="宋体" w:eastAsia="宋体" w:cs="宋体"/>
          <w:b/>
          <w:color w:val="auto"/>
          <w:sz w:val="21"/>
          <w:szCs w:val="21"/>
          <w:highlight w:val="none"/>
          <w:lang w:val="en-US"/>
        </w:rPr>
        <w:t>（十</w:t>
      </w:r>
      <w:r>
        <w:rPr>
          <w:rFonts w:hint="eastAsia" w:ascii="宋体" w:hAnsi="宋体" w:eastAsia="宋体" w:cs="宋体"/>
          <w:b/>
          <w:color w:val="auto"/>
          <w:sz w:val="21"/>
          <w:szCs w:val="21"/>
          <w:highlight w:val="none"/>
          <w:lang w:val="en-US" w:eastAsia="zh-CN"/>
        </w:rPr>
        <w:t>一</w:t>
      </w:r>
      <w:r>
        <w:rPr>
          <w:rFonts w:hint="eastAsia" w:ascii="宋体" w:hAnsi="宋体" w:eastAsia="宋体" w:cs="宋体"/>
          <w:b/>
          <w:color w:val="auto"/>
          <w:sz w:val="21"/>
          <w:szCs w:val="21"/>
          <w:highlight w:val="none"/>
          <w:lang w:val="en-US"/>
        </w:rPr>
        <w:t>）对账服务：</w:t>
      </w:r>
      <w:r>
        <w:rPr>
          <w:rFonts w:hint="eastAsia" w:ascii="宋体" w:hAnsi="宋体" w:eastAsia="宋体" w:cs="宋体"/>
          <w:bCs/>
          <w:color w:val="auto"/>
          <w:sz w:val="21"/>
          <w:szCs w:val="21"/>
          <w:highlight w:val="none"/>
          <w:lang w:val="en-US"/>
        </w:rPr>
        <w:t>各银行根据得分要点，格式自拟。</w:t>
      </w:r>
    </w:p>
    <w:p w14:paraId="41C570FA">
      <w:pPr>
        <w:pStyle w:val="57"/>
        <w:spacing w:line="360" w:lineRule="auto"/>
        <w:jc w:val="center"/>
        <w:rPr>
          <w:rFonts w:hint="eastAsia" w:ascii="宋体" w:hAnsi="宋体" w:eastAsia="宋体" w:cs="Times New Roman"/>
          <w:b/>
          <w:color w:val="auto"/>
          <w:szCs w:val="24"/>
          <w:highlight w:val="none"/>
          <w:lang w:val="en-US"/>
        </w:rPr>
      </w:pPr>
    </w:p>
    <w:p w14:paraId="08A3C760">
      <w:pPr>
        <w:widowControl/>
        <w:adjustRightInd w:val="0"/>
        <w:spacing w:line="360" w:lineRule="auto"/>
        <w:rPr>
          <w:rFonts w:hint="eastAsia" w:ascii="宋体" w:hAnsi="宋体" w:cs="宋体"/>
          <w:b/>
          <w:color w:val="auto"/>
          <w:szCs w:val="21"/>
          <w:highlight w:val="none"/>
          <w:lang w:val="zh-CN"/>
        </w:rPr>
      </w:pPr>
      <w:r>
        <w:rPr>
          <w:rFonts w:hint="eastAsia" w:ascii="宋体" w:hAnsi="宋体" w:cs="宋体"/>
          <w:b/>
          <w:color w:val="auto"/>
          <w:szCs w:val="21"/>
          <w:highlight w:val="none"/>
          <w:lang w:val="zh-CN"/>
        </w:rPr>
        <w:t>附件</w:t>
      </w:r>
      <w:r>
        <w:rPr>
          <w:rFonts w:hint="eastAsia" w:ascii="宋体" w:hAnsi="宋体" w:cs="宋体"/>
          <w:b/>
          <w:color w:val="auto"/>
          <w:szCs w:val="21"/>
          <w:highlight w:val="none"/>
        </w:rPr>
        <w:t>：</w:t>
      </w:r>
      <w:r>
        <w:rPr>
          <w:rFonts w:hint="eastAsia" w:ascii="宋体" w:hAnsi="宋体" w:cs="宋体"/>
          <w:b/>
          <w:color w:val="auto"/>
          <w:szCs w:val="21"/>
          <w:highlight w:val="none"/>
          <w:lang w:val="zh-CN"/>
        </w:rPr>
        <w:t>风险提示函</w:t>
      </w:r>
    </w:p>
    <w:p w14:paraId="5258EF26">
      <w:pPr>
        <w:spacing w:line="360" w:lineRule="auto"/>
        <w:ind w:firstLine="560"/>
        <w:rPr>
          <w:rFonts w:hint="eastAsia" w:ascii="宋体" w:hAnsi="宋体" w:cs="宋体"/>
          <w:color w:val="auto"/>
          <w:szCs w:val="21"/>
          <w:highlight w:val="none"/>
          <w:lang w:val="zh-CN"/>
        </w:rPr>
      </w:pPr>
      <w:r>
        <w:rPr>
          <w:rFonts w:hint="eastAsia" w:ascii="宋体" w:hAnsi="宋体" w:cs="宋体"/>
          <w:color w:val="auto"/>
          <w:szCs w:val="21"/>
          <w:highlight w:val="none"/>
          <w:lang w:val="zh-CN"/>
        </w:rPr>
        <w:t>根据近期审计、巡查的情况，按照«中华人民共和国政府采购法实施条例»第十八条单位负责人为同一人或者存在直接控股、管理关系的不同供应商，不得参加同一合同项下的政府采购活动。各供应商应高度重视，单位负责人为同一人，以及与其公司有同一控股关系、股权伙伴关系的公司，不得参与同一合同项目的投标，否则有围标、串标之嫌疑，其风险自行承担。</w:t>
      </w:r>
    </w:p>
    <w:p w14:paraId="23E6BCCF">
      <w:pPr>
        <w:spacing w:line="360" w:lineRule="auto"/>
        <w:ind w:firstLine="560"/>
        <w:rPr>
          <w:rFonts w:hint="eastAsia" w:ascii="宋体" w:hAnsi="宋体" w:cs="宋体"/>
          <w:color w:val="auto"/>
          <w:szCs w:val="21"/>
          <w:highlight w:val="none"/>
          <w:lang w:val="zh-CN"/>
        </w:rPr>
      </w:pPr>
    </w:p>
    <w:p w14:paraId="23E9720F">
      <w:pPr>
        <w:spacing w:line="360" w:lineRule="auto"/>
        <w:ind w:firstLine="560"/>
        <w:rPr>
          <w:rFonts w:hint="eastAsia" w:ascii="宋体" w:hAnsi="宋体" w:cs="宋体"/>
          <w:color w:val="auto"/>
          <w:szCs w:val="21"/>
          <w:highlight w:val="none"/>
          <w:lang w:val="zh-CN"/>
        </w:rPr>
      </w:pPr>
    </w:p>
    <w:p w14:paraId="37D14B08">
      <w:pPr>
        <w:spacing w:line="360" w:lineRule="auto"/>
        <w:ind w:firstLine="560"/>
        <w:rPr>
          <w:rFonts w:hint="eastAsia" w:ascii="宋体" w:hAnsi="宋体" w:cs="宋体"/>
          <w:color w:val="auto"/>
          <w:szCs w:val="21"/>
          <w:highlight w:val="none"/>
          <w:lang w:val="zh-CN"/>
        </w:rPr>
      </w:pPr>
    </w:p>
    <w:p w14:paraId="5CB3A998">
      <w:pPr>
        <w:spacing w:line="360" w:lineRule="auto"/>
        <w:ind w:firstLine="560"/>
        <w:rPr>
          <w:rFonts w:hint="eastAsia" w:ascii="宋体" w:hAnsi="宋体" w:cs="宋体"/>
          <w:color w:val="auto"/>
          <w:szCs w:val="21"/>
          <w:highlight w:val="none"/>
          <w:lang w:val="zh-CN"/>
        </w:rPr>
      </w:pPr>
    </w:p>
    <w:p w14:paraId="5CB5A995">
      <w:pPr>
        <w:spacing w:line="360" w:lineRule="auto"/>
        <w:ind w:firstLine="560"/>
        <w:rPr>
          <w:rFonts w:cs="仿宋"/>
          <w:color w:val="auto"/>
          <w:highlight w:val="none"/>
          <w:lang w:val="zh-CN"/>
        </w:rPr>
      </w:pPr>
      <w:r>
        <w:rPr>
          <w:rFonts w:hint="eastAsia" w:ascii="宋体" w:hAnsi="宋体" w:cs="宋体"/>
          <w:color w:val="auto"/>
          <w:szCs w:val="21"/>
          <w:highlight w:val="none"/>
          <w:lang w:val="zh-CN"/>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lang w:val="zh-CN"/>
        </w:rPr>
        <w:t xml:space="preserve"> </w:t>
      </w:r>
    </w:p>
    <w:p w14:paraId="57B5B9E9">
      <w:pPr>
        <w:pStyle w:val="57"/>
        <w:spacing w:line="360" w:lineRule="auto"/>
        <w:jc w:val="center"/>
        <w:rPr>
          <w:rFonts w:hint="eastAsia" w:ascii="宋体" w:hAnsi="宋体" w:eastAsia="宋体" w:cs="Times New Roman"/>
          <w:b/>
          <w:color w:val="auto"/>
          <w:szCs w:val="24"/>
          <w:highlight w:val="none"/>
          <w:lang w:val="en-US"/>
        </w:rPr>
      </w:pPr>
    </w:p>
    <w:sectPr>
      <w:headerReference r:id="rId4" w:type="first"/>
      <w:headerReference r:id="rId3" w:type="default"/>
      <w:footerReference r:id="rId5" w:type="default"/>
      <w:pgSz w:w="11906" w:h="16838"/>
      <w:pgMar w:top="1417" w:right="1417" w:bottom="1417" w:left="1417" w:header="851" w:footer="992" w:gutter="0"/>
      <w:pgNumType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时尚中黑简体">
    <w:altName w:val="黑体"/>
    <w:panose1 w:val="00000000000000000000"/>
    <w:charset w:val="86"/>
    <w:family w:val="auto"/>
    <w:pitch w:val="default"/>
    <w:sig w:usb0="00000000" w:usb1="00000000" w:usb2="00000012" w:usb3="00000000" w:csb0="00040001" w:csb1="00000000"/>
  </w:font>
  <w:font w:name="方正仿宋简体">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0DDF1">
    <w:pPr>
      <w:pStyle w:val="14"/>
      <w:jc w:val="center"/>
    </w:pPr>
    <w:r>
      <w:fldChar w:fldCharType="begin"/>
    </w:r>
    <w:r>
      <w:instrText xml:space="preserve"> PAGE   \* MERGEFORMAT </w:instrText>
    </w:r>
    <w:r>
      <w:fldChar w:fldCharType="separate"/>
    </w:r>
    <w:r>
      <w:rPr>
        <w:lang w:val="zh-CN"/>
      </w:rPr>
      <w:t>11</w:t>
    </w:r>
    <w:r>
      <w:rPr>
        <w:lang w:val="zh-CN"/>
      </w:rPr>
      <w:fldChar w:fldCharType="end"/>
    </w:r>
  </w:p>
  <w:p w14:paraId="65DC5B0A">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7F017">
    <w:pPr>
      <w:pStyle w:val="15"/>
      <w:jc w:val="left"/>
      <w:rPr>
        <w:rFonts w:hint="eastAsia" w:ascii="宋体" w:hAnsi="宋体"/>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3D585">
    <w:pPr>
      <w:pStyle w:val="15"/>
      <w:pBdr>
        <w:bottom w:val="single" w:color="auto" w:sz="4" w:space="1"/>
      </w:pBdr>
      <w:tabs>
        <w:tab w:val="center" w:pos="4422"/>
        <w:tab w:val="right" w:pos="8844"/>
        <w:tab w:val="clear" w:pos="4153"/>
        <w:tab w:val="clear" w:pos="8306"/>
      </w:tabs>
      <w:rPr>
        <w:lang w:val="zh-CN"/>
      </w:rPr>
    </w:pPr>
    <w:r>
      <w:rPr>
        <w:lang w:val="zh-CN"/>
      </w:rPr>
      <w:tab/>
    </w:r>
    <w:r>
      <w:rPr>
        <w:rFonts w:hint="eastAsia"/>
        <w:lang w:val="zh-CN"/>
      </w:rPr>
      <w:tab/>
    </w:r>
  </w:p>
  <w:p w14:paraId="3B9D1129">
    <w:pPr>
      <w:pStyle w:val="15"/>
      <w:pBdr>
        <w:bottom w:val="single" w:color="auto" w:sz="4" w:space="1"/>
      </w:pBdr>
      <w:tabs>
        <w:tab w:val="center" w:pos="4422"/>
        <w:tab w:val="right" w:pos="8844"/>
        <w:tab w:val="clear" w:pos="4153"/>
        <w:tab w:val="clear" w:pos="8306"/>
      </w:tabs>
      <w:rPr>
        <w:rFonts w:eastAsiaTheme="minorEastAsia"/>
      </w:rPr>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decimal"/>
      <w:isLgl/>
      <w:lvlText w:val="%1."/>
      <w:lvlJc w:val="left"/>
      <w:pPr>
        <w:tabs>
          <w:tab w:val="left" w:pos="360"/>
        </w:tabs>
        <w:ind w:left="0" w:firstLine="0"/>
      </w:pPr>
      <w:rPr>
        <w:rFonts w:hint="default" w:ascii="Arial" w:hAnsi="Arial"/>
        <w:b/>
        <w:i w:val="0"/>
        <w:sz w:val="32"/>
      </w:rPr>
    </w:lvl>
    <w:lvl w:ilvl="1" w:tentative="0">
      <w:start w:val="1"/>
      <w:numFmt w:val="decimal"/>
      <w:lvlText w:val="%1.%2."/>
      <w:lvlJc w:val="left"/>
      <w:pPr>
        <w:tabs>
          <w:tab w:val="left" w:pos="720"/>
        </w:tabs>
        <w:ind w:left="567" w:hanging="567"/>
      </w:pPr>
      <w:rPr>
        <w:rFonts w:hint="eastAsia"/>
      </w:rPr>
    </w:lvl>
    <w:lvl w:ilvl="2" w:tentative="0">
      <w:start w:val="1"/>
      <w:numFmt w:val="decimal"/>
      <w:pStyle w:val="4"/>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zZGM2ZjIxNGI1MzVmNzcyNDcxOGI5NDY0Nzg0NTQifQ=="/>
  </w:docVars>
  <w:rsids>
    <w:rsidRoot w:val="00B80881"/>
    <w:rsid w:val="00000448"/>
    <w:rsid w:val="00004AA5"/>
    <w:rsid w:val="00012878"/>
    <w:rsid w:val="00013364"/>
    <w:rsid w:val="00013836"/>
    <w:rsid w:val="0001498D"/>
    <w:rsid w:val="000157EE"/>
    <w:rsid w:val="00043264"/>
    <w:rsid w:val="00045BA4"/>
    <w:rsid w:val="00046E71"/>
    <w:rsid w:val="00051A76"/>
    <w:rsid w:val="00060C6A"/>
    <w:rsid w:val="00061A65"/>
    <w:rsid w:val="00062600"/>
    <w:rsid w:val="0007418D"/>
    <w:rsid w:val="000749E3"/>
    <w:rsid w:val="00075B3C"/>
    <w:rsid w:val="0008163B"/>
    <w:rsid w:val="000816EB"/>
    <w:rsid w:val="00083B76"/>
    <w:rsid w:val="00086683"/>
    <w:rsid w:val="000911B8"/>
    <w:rsid w:val="00092A2A"/>
    <w:rsid w:val="000B75CB"/>
    <w:rsid w:val="000C0685"/>
    <w:rsid w:val="000C07C7"/>
    <w:rsid w:val="000C60C3"/>
    <w:rsid w:val="000C6436"/>
    <w:rsid w:val="000D11EA"/>
    <w:rsid w:val="000E3A4A"/>
    <w:rsid w:val="000E73B0"/>
    <w:rsid w:val="000F1C81"/>
    <w:rsid w:val="000F581E"/>
    <w:rsid w:val="001020E9"/>
    <w:rsid w:val="00102525"/>
    <w:rsid w:val="00102751"/>
    <w:rsid w:val="0010583B"/>
    <w:rsid w:val="00105D03"/>
    <w:rsid w:val="0010764C"/>
    <w:rsid w:val="001077AD"/>
    <w:rsid w:val="001231E6"/>
    <w:rsid w:val="0012455B"/>
    <w:rsid w:val="00124AFA"/>
    <w:rsid w:val="00126DBA"/>
    <w:rsid w:val="00126EFE"/>
    <w:rsid w:val="00131F47"/>
    <w:rsid w:val="00132702"/>
    <w:rsid w:val="00134582"/>
    <w:rsid w:val="001467FF"/>
    <w:rsid w:val="001503CF"/>
    <w:rsid w:val="00160347"/>
    <w:rsid w:val="001621EF"/>
    <w:rsid w:val="0016497E"/>
    <w:rsid w:val="00166D33"/>
    <w:rsid w:val="00174F80"/>
    <w:rsid w:val="001751DF"/>
    <w:rsid w:val="0018126F"/>
    <w:rsid w:val="00183104"/>
    <w:rsid w:val="001836B9"/>
    <w:rsid w:val="001905E1"/>
    <w:rsid w:val="0019163D"/>
    <w:rsid w:val="00195C6F"/>
    <w:rsid w:val="00197F3A"/>
    <w:rsid w:val="001A1282"/>
    <w:rsid w:val="001A319C"/>
    <w:rsid w:val="001A391B"/>
    <w:rsid w:val="001A4039"/>
    <w:rsid w:val="001B32FC"/>
    <w:rsid w:val="001B41A5"/>
    <w:rsid w:val="001B5009"/>
    <w:rsid w:val="001C18E0"/>
    <w:rsid w:val="001C435E"/>
    <w:rsid w:val="001C43F1"/>
    <w:rsid w:val="001C4447"/>
    <w:rsid w:val="001D2A9F"/>
    <w:rsid w:val="001D4206"/>
    <w:rsid w:val="001D543C"/>
    <w:rsid w:val="001F24B0"/>
    <w:rsid w:val="002117AE"/>
    <w:rsid w:val="0023209A"/>
    <w:rsid w:val="00235978"/>
    <w:rsid w:val="00242AA6"/>
    <w:rsid w:val="00245460"/>
    <w:rsid w:val="00250052"/>
    <w:rsid w:val="00253192"/>
    <w:rsid w:val="002557EE"/>
    <w:rsid w:val="0026130D"/>
    <w:rsid w:val="00263193"/>
    <w:rsid w:val="00263DE7"/>
    <w:rsid w:val="00263ECD"/>
    <w:rsid w:val="002650BB"/>
    <w:rsid w:val="00265EA0"/>
    <w:rsid w:val="00266D42"/>
    <w:rsid w:val="0027388F"/>
    <w:rsid w:val="002776D4"/>
    <w:rsid w:val="0027777E"/>
    <w:rsid w:val="0028151F"/>
    <w:rsid w:val="00291B7A"/>
    <w:rsid w:val="00292694"/>
    <w:rsid w:val="00295620"/>
    <w:rsid w:val="002B3F0E"/>
    <w:rsid w:val="002B5028"/>
    <w:rsid w:val="002D19FD"/>
    <w:rsid w:val="002D27E6"/>
    <w:rsid w:val="002D409F"/>
    <w:rsid w:val="002D547A"/>
    <w:rsid w:val="002E1115"/>
    <w:rsid w:val="002E3CF4"/>
    <w:rsid w:val="002E5ADD"/>
    <w:rsid w:val="002E6413"/>
    <w:rsid w:val="002E6DC6"/>
    <w:rsid w:val="002F0129"/>
    <w:rsid w:val="002F32F9"/>
    <w:rsid w:val="002F4105"/>
    <w:rsid w:val="002F59F0"/>
    <w:rsid w:val="002F7108"/>
    <w:rsid w:val="0030226C"/>
    <w:rsid w:val="00313CA4"/>
    <w:rsid w:val="00316C30"/>
    <w:rsid w:val="00317EFA"/>
    <w:rsid w:val="0033219B"/>
    <w:rsid w:val="003337B1"/>
    <w:rsid w:val="00334017"/>
    <w:rsid w:val="00337D94"/>
    <w:rsid w:val="00342E5B"/>
    <w:rsid w:val="00347743"/>
    <w:rsid w:val="003601BB"/>
    <w:rsid w:val="003602EF"/>
    <w:rsid w:val="0036463F"/>
    <w:rsid w:val="00365DB5"/>
    <w:rsid w:val="00370FB2"/>
    <w:rsid w:val="00371E9B"/>
    <w:rsid w:val="00372EC0"/>
    <w:rsid w:val="00374709"/>
    <w:rsid w:val="003761B0"/>
    <w:rsid w:val="003772C9"/>
    <w:rsid w:val="00380124"/>
    <w:rsid w:val="00381040"/>
    <w:rsid w:val="0038142C"/>
    <w:rsid w:val="00386E2C"/>
    <w:rsid w:val="0039038B"/>
    <w:rsid w:val="00394AB8"/>
    <w:rsid w:val="003A24CD"/>
    <w:rsid w:val="003A66A7"/>
    <w:rsid w:val="003B73A0"/>
    <w:rsid w:val="003C0671"/>
    <w:rsid w:val="003C468C"/>
    <w:rsid w:val="003C5E92"/>
    <w:rsid w:val="003D7447"/>
    <w:rsid w:val="003F123A"/>
    <w:rsid w:val="004036B1"/>
    <w:rsid w:val="00404416"/>
    <w:rsid w:val="00404F26"/>
    <w:rsid w:val="004137F1"/>
    <w:rsid w:val="00417AF5"/>
    <w:rsid w:val="00422377"/>
    <w:rsid w:val="0042278E"/>
    <w:rsid w:val="00425102"/>
    <w:rsid w:val="004335A8"/>
    <w:rsid w:val="0044034A"/>
    <w:rsid w:val="00440C6A"/>
    <w:rsid w:val="00450723"/>
    <w:rsid w:val="00455C2E"/>
    <w:rsid w:val="00471356"/>
    <w:rsid w:val="00486BD2"/>
    <w:rsid w:val="00487881"/>
    <w:rsid w:val="00495F47"/>
    <w:rsid w:val="00496AD6"/>
    <w:rsid w:val="004973E0"/>
    <w:rsid w:val="004A04D9"/>
    <w:rsid w:val="004A5D7E"/>
    <w:rsid w:val="004B13ED"/>
    <w:rsid w:val="004B2114"/>
    <w:rsid w:val="004B2115"/>
    <w:rsid w:val="004B2E9F"/>
    <w:rsid w:val="004B531F"/>
    <w:rsid w:val="004B5B4A"/>
    <w:rsid w:val="004B6683"/>
    <w:rsid w:val="004C1C46"/>
    <w:rsid w:val="004D0B05"/>
    <w:rsid w:val="004E0460"/>
    <w:rsid w:val="004E4D0D"/>
    <w:rsid w:val="004E630F"/>
    <w:rsid w:val="004F01E6"/>
    <w:rsid w:val="00513125"/>
    <w:rsid w:val="00513EF4"/>
    <w:rsid w:val="00514280"/>
    <w:rsid w:val="00514ECB"/>
    <w:rsid w:val="00523380"/>
    <w:rsid w:val="00523B22"/>
    <w:rsid w:val="00531E23"/>
    <w:rsid w:val="00532A7A"/>
    <w:rsid w:val="00550BE6"/>
    <w:rsid w:val="00551ADA"/>
    <w:rsid w:val="00561AFA"/>
    <w:rsid w:val="00563341"/>
    <w:rsid w:val="00567574"/>
    <w:rsid w:val="00567BD3"/>
    <w:rsid w:val="005736DC"/>
    <w:rsid w:val="00574DB8"/>
    <w:rsid w:val="00575D96"/>
    <w:rsid w:val="00577902"/>
    <w:rsid w:val="0058615A"/>
    <w:rsid w:val="00592B82"/>
    <w:rsid w:val="00594C97"/>
    <w:rsid w:val="005A3919"/>
    <w:rsid w:val="005A7F50"/>
    <w:rsid w:val="005B0E10"/>
    <w:rsid w:val="005B26AD"/>
    <w:rsid w:val="005B44E6"/>
    <w:rsid w:val="005B4C2E"/>
    <w:rsid w:val="005B4E51"/>
    <w:rsid w:val="005C1A8E"/>
    <w:rsid w:val="005D768B"/>
    <w:rsid w:val="005E21DA"/>
    <w:rsid w:val="005E4FE0"/>
    <w:rsid w:val="005E6CFB"/>
    <w:rsid w:val="005E7CD9"/>
    <w:rsid w:val="005F502C"/>
    <w:rsid w:val="005F6D15"/>
    <w:rsid w:val="00600888"/>
    <w:rsid w:val="00604BAF"/>
    <w:rsid w:val="00605C35"/>
    <w:rsid w:val="006070F7"/>
    <w:rsid w:val="006109C3"/>
    <w:rsid w:val="00612EC7"/>
    <w:rsid w:val="00617E88"/>
    <w:rsid w:val="006245FF"/>
    <w:rsid w:val="00627626"/>
    <w:rsid w:val="0065429C"/>
    <w:rsid w:val="006556A2"/>
    <w:rsid w:val="0066003D"/>
    <w:rsid w:val="00676510"/>
    <w:rsid w:val="00681ADE"/>
    <w:rsid w:val="0069213C"/>
    <w:rsid w:val="00692FA7"/>
    <w:rsid w:val="00693B77"/>
    <w:rsid w:val="006A614E"/>
    <w:rsid w:val="006B4F71"/>
    <w:rsid w:val="006B58E8"/>
    <w:rsid w:val="006D03FF"/>
    <w:rsid w:val="006D3B12"/>
    <w:rsid w:val="006D4D42"/>
    <w:rsid w:val="006F06A2"/>
    <w:rsid w:val="006F0A74"/>
    <w:rsid w:val="006F594D"/>
    <w:rsid w:val="006F600D"/>
    <w:rsid w:val="007010C9"/>
    <w:rsid w:val="00701BE7"/>
    <w:rsid w:val="00705603"/>
    <w:rsid w:val="00710DF3"/>
    <w:rsid w:val="0072536A"/>
    <w:rsid w:val="00727BBD"/>
    <w:rsid w:val="00733159"/>
    <w:rsid w:val="00740211"/>
    <w:rsid w:val="0074115B"/>
    <w:rsid w:val="00744C6C"/>
    <w:rsid w:val="00755D10"/>
    <w:rsid w:val="007606E5"/>
    <w:rsid w:val="0076733E"/>
    <w:rsid w:val="00767C49"/>
    <w:rsid w:val="00767FBA"/>
    <w:rsid w:val="007806C9"/>
    <w:rsid w:val="007833AA"/>
    <w:rsid w:val="007844AD"/>
    <w:rsid w:val="00784C7D"/>
    <w:rsid w:val="007870F6"/>
    <w:rsid w:val="00790613"/>
    <w:rsid w:val="007942E5"/>
    <w:rsid w:val="00797F8E"/>
    <w:rsid w:val="007A0D2E"/>
    <w:rsid w:val="007A32AA"/>
    <w:rsid w:val="007B02C2"/>
    <w:rsid w:val="007C1741"/>
    <w:rsid w:val="007C2DCE"/>
    <w:rsid w:val="007D3203"/>
    <w:rsid w:val="007D3C70"/>
    <w:rsid w:val="007E2889"/>
    <w:rsid w:val="007E40BC"/>
    <w:rsid w:val="007E52AE"/>
    <w:rsid w:val="007F013B"/>
    <w:rsid w:val="007F12FD"/>
    <w:rsid w:val="007F26EE"/>
    <w:rsid w:val="007F38CA"/>
    <w:rsid w:val="007F4EAD"/>
    <w:rsid w:val="007F6F33"/>
    <w:rsid w:val="0081058B"/>
    <w:rsid w:val="0081118D"/>
    <w:rsid w:val="00811755"/>
    <w:rsid w:val="008165DB"/>
    <w:rsid w:val="008166F5"/>
    <w:rsid w:val="008231E5"/>
    <w:rsid w:val="00827FB2"/>
    <w:rsid w:val="00847547"/>
    <w:rsid w:val="00847DE1"/>
    <w:rsid w:val="008525E1"/>
    <w:rsid w:val="008550A7"/>
    <w:rsid w:val="008557C7"/>
    <w:rsid w:val="00857B0D"/>
    <w:rsid w:val="00870A51"/>
    <w:rsid w:val="00871326"/>
    <w:rsid w:val="00880D30"/>
    <w:rsid w:val="00881F4E"/>
    <w:rsid w:val="00882B5D"/>
    <w:rsid w:val="00896DF1"/>
    <w:rsid w:val="008A08C5"/>
    <w:rsid w:val="008A09ED"/>
    <w:rsid w:val="008A1270"/>
    <w:rsid w:val="008A2F83"/>
    <w:rsid w:val="008C0511"/>
    <w:rsid w:val="008C3A8B"/>
    <w:rsid w:val="008D1027"/>
    <w:rsid w:val="008D19A1"/>
    <w:rsid w:val="008D2961"/>
    <w:rsid w:val="008D313A"/>
    <w:rsid w:val="008D34A2"/>
    <w:rsid w:val="008D3AAF"/>
    <w:rsid w:val="008D7646"/>
    <w:rsid w:val="008E648F"/>
    <w:rsid w:val="008F0EC7"/>
    <w:rsid w:val="00900BA8"/>
    <w:rsid w:val="009065F5"/>
    <w:rsid w:val="009111EF"/>
    <w:rsid w:val="00912016"/>
    <w:rsid w:val="0091253A"/>
    <w:rsid w:val="00912B9A"/>
    <w:rsid w:val="00915431"/>
    <w:rsid w:val="00915FCA"/>
    <w:rsid w:val="009211B0"/>
    <w:rsid w:val="0093029B"/>
    <w:rsid w:val="009306ED"/>
    <w:rsid w:val="00932FC7"/>
    <w:rsid w:val="00941E2D"/>
    <w:rsid w:val="00945609"/>
    <w:rsid w:val="00951FEE"/>
    <w:rsid w:val="00956D28"/>
    <w:rsid w:val="009577EE"/>
    <w:rsid w:val="00961059"/>
    <w:rsid w:val="009671DD"/>
    <w:rsid w:val="0097005D"/>
    <w:rsid w:val="00971408"/>
    <w:rsid w:val="00983F88"/>
    <w:rsid w:val="0098651A"/>
    <w:rsid w:val="00990B68"/>
    <w:rsid w:val="009953BC"/>
    <w:rsid w:val="0099578F"/>
    <w:rsid w:val="00996002"/>
    <w:rsid w:val="009A33B3"/>
    <w:rsid w:val="009B28A8"/>
    <w:rsid w:val="009B53E9"/>
    <w:rsid w:val="009C4979"/>
    <w:rsid w:val="009D2CC0"/>
    <w:rsid w:val="009D3884"/>
    <w:rsid w:val="009D5E01"/>
    <w:rsid w:val="009D649F"/>
    <w:rsid w:val="009F47A7"/>
    <w:rsid w:val="00A133FE"/>
    <w:rsid w:val="00A151CA"/>
    <w:rsid w:val="00A35959"/>
    <w:rsid w:val="00A44D36"/>
    <w:rsid w:val="00A50193"/>
    <w:rsid w:val="00A5127D"/>
    <w:rsid w:val="00A51A8D"/>
    <w:rsid w:val="00A51D82"/>
    <w:rsid w:val="00A53FCB"/>
    <w:rsid w:val="00A633DE"/>
    <w:rsid w:val="00A65C7C"/>
    <w:rsid w:val="00A66F52"/>
    <w:rsid w:val="00A72937"/>
    <w:rsid w:val="00A83320"/>
    <w:rsid w:val="00A87080"/>
    <w:rsid w:val="00AA2A3D"/>
    <w:rsid w:val="00AA396C"/>
    <w:rsid w:val="00AA5691"/>
    <w:rsid w:val="00AB3BE1"/>
    <w:rsid w:val="00AB480F"/>
    <w:rsid w:val="00AB60F0"/>
    <w:rsid w:val="00AB7092"/>
    <w:rsid w:val="00AC1605"/>
    <w:rsid w:val="00AD65E0"/>
    <w:rsid w:val="00AE113F"/>
    <w:rsid w:val="00AE58E9"/>
    <w:rsid w:val="00AE6780"/>
    <w:rsid w:val="00AE6AD0"/>
    <w:rsid w:val="00AE7281"/>
    <w:rsid w:val="00AF240A"/>
    <w:rsid w:val="00AF2CCE"/>
    <w:rsid w:val="00AF5EA3"/>
    <w:rsid w:val="00B00212"/>
    <w:rsid w:val="00B048A0"/>
    <w:rsid w:val="00B13F4F"/>
    <w:rsid w:val="00B15767"/>
    <w:rsid w:val="00B23971"/>
    <w:rsid w:val="00B2494E"/>
    <w:rsid w:val="00B25D78"/>
    <w:rsid w:val="00B268D9"/>
    <w:rsid w:val="00B270F8"/>
    <w:rsid w:val="00B32ABC"/>
    <w:rsid w:val="00B337AB"/>
    <w:rsid w:val="00B35820"/>
    <w:rsid w:val="00B41671"/>
    <w:rsid w:val="00B41E68"/>
    <w:rsid w:val="00B45F14"/>
    <w:rsid w:val="00B46918"/>
    <w:rsid w:val="00B4754E"/>
    <w:rsid w:val="00B541D2"/>
    <w:rsid w:val="00B56C5A"/>
    <w:rsid w:val="00B62128"/>
    <w:rsid w:val="00B63090"/>
    <w:rsid w:val="00B636A4"/>
    <w:rsid w:val="00B65209"/>
    <w:rsid w:val="00B652E8"/>
    <w:rsid w:val="00B65A6F"/>
    <w:rsid w:val="00B65E0C"/>
    <w:rsid w:val="00B70100"/>
    <w:rsid w:val="00B7273B"/>
    <w:rsid w:val="00B74782"/>
    <w:rsid w:val="00B7498E"/>
    <w:rsid w:val="00B7620D"/>
    <w:rsid w:val="00B80881"/>
    <w:rsid w:val="00B80C2A"/>
    <w:rsid w:val="00B86C87"/>
    <w:rsid w:val="00B93CC6"/>
    <w:rsid w:val="00B946BD"/>
    <w:rsid w:val="00B970E7"/>
    <w:rsid w:val="00B97FFB"/>
    <w:rsid w:val="00BA2886"/>
    <w:rsid w:val="00BA3320"/>
    <w:rsid w:val="00BA7F8E"/>
    <w:rsid w:val="00BB2D86"/>
    <w:rsid w:val="00BC1560"/>
    <w:rsid w:val="00BC3F72"/>
    <w:rsid w:val="00BD1DC0"/>
    <w:rsid w:val="00BE330A"/>
    <w:rsid w:val="00BE4C2F"/>
    <w:rsid w:val="00BF1416"/>
    <w:rsid w:val="00BF224B"/>
    <w:rsid w:val="00BF2959"/>
    <w:rsid w:val="00C000AA"/>
    <w:rsid w:val="00C00225"/>
    <w:rsid w:val="00C011CF"/>
    <w:rsid w:val="00C019CB"/>
    <w:rsid w:val="00C0204D"/>
    <w:rsid w:val="00C11100"/>
    <w:rsid w:val="00C1132B"/>
    <w:rsid w:val="00C144D5"/>
    <w:rsid w:val="00C17121"/>
    <w:rsid w:val="00C27F39"/>
    <w:rsid w:val="00C353F2"/>
    <w:rsid w:val="00C47B01"/>
    <w:rsid w:val="00C5234F"/>
    <w:rsid w:val="00C70987"/>
    <w:rsid w:val="00C7098F"/>
    <w:rsid w:val="00C75DBE"/>
    <w:rsid w:val="00C8220A"/>
    <w:rsid w:val="00C9201A"/>
    <w:rsid w:val="00C94B90"/>
    <w:rsid w:val="00C94FBA"/>
    <w:rsid w:val="00CA177B"/>
    <w:rsid w:val="00CA3F21"/>
    <w:rsid w:val="00CB0F02"/>
    <w:rsid w:val="00CB1EB4"/>
    <w:rsid w:val="00CB4AFB"/>
    <w:rsid w:val="00CB52E9"/>
    <w:rsid w:val="00CB5F85"/>
    <w:rsid w:val="00CB6B35"/>
    <w:rsid w:val="00CC7D6D"/>
    <w:rsid w:val="00CD53EE"/>
    <w:rsid w:val="00CE673A"/>
    <w:rsid w:val="00CE679F"/>
    <w:rsid w:val="00CE72AE"/>
    <w:rsid w:val="00CF3093"/>
    <w:rsid w:val="00CF40EB"/>
    <w:rsid w:val="00CF4E27"/>
    <w:rsid w:val="00CF5C8B"/>
    <w:rsid w:val="00CF7B15"/>
    <w:rsid w:val="00D00944"/>
    <w:rsid w:val="00D00AEB"/>
    <w:rsid w:val="00D02F17"/>
    <w:rsid w:val="00D05793"/>
    <w:rsid w:val="00D06432"/>
    <w:rsid w:val="00D11F6B"/>
    <w:rsid w:val="00D26EDC"/>
    <w:rsid w:val="00D33313"/>
    <w:rsid w:val="00D36971"/>
    <w:rsid w:val="00D40FC5"/>
    <w:rsid w:val="00D4379E"/>
    <w:rsid w:val="00D54A48"/>
    <w:rsid w:val="00D563E5"/>
    <w:rsid w:val="00D5671C"/>
    <w:rsid w:val="00D60FB1"/>
    <w:rsid w:val="00D63334"/>
    <w:rsid w:val="00D651D3"/>
    <w:rsid w:val="00D67513"/>
    <w:rsid w:val="00D76C94"/>
    <w:rsid w:val="00D8271F"/>
    <w:rsid w:val="00D87771"/>
    <w:rsid w:val="00D96A8C"/>
    <w:rsid w:val="00D9776C"/>
    <w:rsid w:val="00DA3E51"/>
    <w:rsid w:val="00DB06F3"/>
    <w:rsid w:val="00DB1E99"/>
    <w:rsid w:val="00DC19BA"/>
    <w:rsid w:val="00DC4866"/>
    <w:rsid w:val="00DD0D7C"/>
    <w:rsid w:val="00DD4989"/>
    <w:rsid w:val="00DE1BE7"/>
    <w:rsid w:val="00DE3EE1"/>
    <w:rsid w:val="00DE5BDE"/>
    <w:rsid w:val="00DE7DCC"/>
    <w:rsid w:val="00DF085D"/>
    <w:rsid w:val="00DF1B96"/>
    <w:rsid w:val="00DF7DC5"/>
    <w:rsid w:val="00E00F97"/>
    <w:rsid w:val="00E03EAC"/>
    <w:rsid w:val="00E11438"/>
    <w:rsid w:val="00E217DC"/>
    <w:rsid w:val="00E21A02"/>
    <w:rsid w:val="00E33C85"/>
    <w:rsid w:val="00E35266"/>
    <w:rsid w:val="00E357EC"/>
    <w:rsid w:val="00E36F0A"/>
    <w:rsid w:val="00E406B3"/>
    <w:rsid w:val="00E42084"/>
    <w:rsid w:val="00E45779"/>
    <w:rsid w:val="00E46912"/>
    <w:rsid w:val="00E60E0F"/>
    <w:rsid w:val="00E67B87"/>
    <w:rsid w:val="00E710E8"/>
    <w:rsid w:val="00E76082"/>
    <w:rsid w:val="00E80B70"/>
    <w:rsid w:val="00E80E3C"/>
    <w:rsid w:val="00E81597"/>
    <w:rsid w:val="00E84006"/>
    <w:rsid w:val="00E87724"/>
    <w:rsid w:val="00E91472"/>
    <w:rsid w:val="00E96BDD"/>
    <w:rsid w:val="00EA1A34"/>
    <w:rsid w:val="00EA65C9"/>
    <w:rsid w:val="00EA7A1C"/>
    <w:rsid w:val="00EB5871"/>
    <w:rsid w:val="00EB5BB6"/>
    <w:rsid w:val="00EB72F6"/>
    <w:rsid w:val="00EC5B54"/>
    <w:rsid w:val="00ED0233"/>
    <w:rsid w:val="00ED1182"/>
    <w:rsid w:val="00ED1AEB"/>
    <w:rsid w:val="00ED1BFD"/>
    <w:rsid w:val="00ED3B87"/>
    <w:rsid w:val="00ED78FC"/>
    <w:rsid w:val="00EE077D"/>
    <w:rsid w:val="00EE4973"/>
    <w:rsid w:val="00EE624C"/>
    <w:rsid w:val="00EF1603"/>
    <w:rsid w:val="00EF2021"/>
    <w:rsid w:val="00EF4D67"/>
    <w:rsid w:val="00EF6BE5"/>
    <w:rsid w:val="00F02AF5"/>
    <w:rsid w:val="00F06E2B"/>
    <w:rsid w:val="00F1191B"/>
    <w:rsid w:val="00F17D25"/>
    <w:rsid w:val="00F25769"/>
    <w:rsid w:val="00F3122E"/>
    <w:rsid w:val="00F335AE"/>
    <w:rsid w:val="00F34019"/>
    <w:rsid w:val="00F36D61"/>
    <w:rsid w:val="00F40242"/>
    <w:rsid w:val="00F50AE5"/>
    <w:rsid w:val="00F50F75"/>
    <w:rsid w:val="00F56024"/>
    <w:rsid w:val="00F56ADF"/>
    <w:rsid w:val="00F62512"/>
    <w:rsid w:val="00F64E7C"/>
    <w:rsid w:val="00F70D67"/>
    <w:rsid w:val="00F8213D"/>
    <w:rsid w:val="00F85CA4"/>
    <w:rsid w:val="00F86137"/>
    <w:rsid w:val="00F86650"/>
    <w:rsid w:val="00F92483"/>
    <w:rsid w:val="00F95134"/>
    <w:rsid w:val="00F96E8B"/>
    <w:rsid w:val="00F97FC5"/>
    <w:rsid w:val="00FA480B"/>
    <w:rsid w:val="00FB229B"/>
    <w:rsid w:val="00FB4066"/>
    <w:rsid w:val="00FC0012"/>
    <w:rsid w:val="00FC3B6C"/>
    <w:rsid w:val="00FD0300"/>
    <w:rsid w:val="00FD5CFD"/>
    <w:rsid w:val="00FE32D3"/>
    <w:rsid w:val="00FE5784"/>
    <w:rsid w:val="00FE666D"/>
    <w:rsid w:val="00FF0E43"/>
    <w:rsid w:val="00FF14EC"/>
    <w:rsid w:val="00FF17E3"/>
    <w:rsid w:val="00FF4E92"/>
    <w:rsid w:val="00FF67F1"/>
    <w:rsid w:val="010333FC"/>
    <w:rsid w:val="01040F3A"/>
    <w:rsid w:val="010A08C5"/>
    <w:rsid w:val="010C3DC8"/>
    <w:rsid w:val="011242E3"/>
    <w:rsid w:val="01154EDD"/>
    <w:rsid w:val="01187BDA"/>
    <w:rsid w:val="011E1AE4"/>
    <w:rsid w:val="012515C4"/>
    <w:rsid w:val="012B752C"/>
    <w:rsid w:val="012F7800"/>
    <w:rsid w:val="013C2A42"/>
    <w:rsid w:val="015C2B0C"/>
    <w:rsid w:val="016D6AC7"/>
    <w:rsid w:val="01713236"/>
    <w:rsid w:val="017460A8"/>
    <w:rsid w:val="01763BCE"/>
    <w:rsid w:val="01843AB1"/>
    <w:rsid w:val="019123E8"/>
    <w:rsid w:val="019127B6"/>
    <w:rsid w:val="01A4698D"/>
    <w:rsid w:val="01A71FD9"/>
    <w:rsid w:val="01B91D0C"/>
    <w:rsid w:val="01BC4F2C"/>
    <w:rsid w:val="01BE7323"/>
    <w:rsid w:val="01C81F50"/>
    <w:rsid w:val="01D572CC"/>
    <w:rsid w:val="01D87F42"/>
    <w:rsid w:val="01F577E3"/>
    <w:rsid w:val="02115AD8"/>
    <w:rsid w:val="02256B51"/>
    <w:rsid w:val="02335DA9"/>
    <w:rsid w:val="023B6BC5"/>
    <w:rsid w:val="023C55E3"/>
    <w:rsid w:val="023D46EC"/>
    <w:rsid w:val="023E4EFD"/>
    <w:rsid w:val="0241242E"/>
    <w:rsid w:val="024261A6"/>
    <w:rsid w:val="02441F1E"/>
    <w:rsid w:val="024E4B4B"/>
    <w:rsid w:val="025645B5"/>
    <w:rsid w:val="025B2DC4"/>
    <w:rsid w:val="027D1F13"/>
    <w:rsid w:val="02817285"/>
    <w:rsid w:val="028A5133"/>
    <w:rsid w:val="028B36A9"/>
    <w:rsid w:val="028D11B6"/>
    <w:rsid w:val="028D5A3C"/>
    <w:rsid w:val="028D7421"/>
    <w:rsid w:val="029321BF"/>
    <w:rsid w:val="02943D8A"/>
    <w:rsid w:val="0297310D"/>
    <w:rsid w:val="029D0BAB"/>
    <w:rsid w:val="029D572C"/>
    <w:rsid w:val="02A75D67"/>
    <w:rsid w:val="02A93B2F"/>
    <w:rsid w:val="02B250DA"/>
    <w:rsid w:val="02B851E1"/>
    <w:rsid w:val="02C371D8"/>
    <w:rsid w:val="02C411E6"/>
    <w:rsid w:val="02CB7445"/>
    <w:rsid w:val="02D658DF"/>
    <w:rsid w:val="02E4100B"/>
    <w:rsid w:val="02EA4873"/>
    <w:rsid w:val="02F26948"/>
    <w:rsid w:val="02F4124E"/>
    <w:rsid w:val="02FC4102"/>
    <w:rsid w:val="02FC6355"/>
    <w:rsid w:val="03063EB3"/>
    <w:rsid w:val="030A675A"/>
    <w:rsid w:val="030D6D91"/>
    <w:rsid w:val="032F68FD"/>
    <w:rsid w:val="03303A6C"/>
    <w:rsid w:val="033F4FE1"/>
    <w:rsid w:val="035E2B6B"/>
    <w:rsid w:val="035F137E"/>
    <w:rsid w:val="036923E1"/>
    <w:rsid w:val="037203C5"/>
    <w:rsid w:val="037478AC"/>
    <w:rsid w:val="037844B5"/>
    <w:rsid w:val="03851FAF"/>
    <w:rsid w:val="038C185D"/>
    <w:rsid w:val="038D0356"/>
    <w:rsid w:val="038E2102"/>
    <w:rsid w:val="0392335E"/>
    <w:rsid w:val="03926F30"/>
    <w:rsid w:val="03CA1C12"/>
    <w:rsid w:val="03D16271"/>
    <w:rsid w:val="03D40D58"/>
    <w:rsid w:val="03D472D2"/>
    <w:rsid w:val="03DE5A5A"/>
    <w:rsid w:val="03DF1BA5"/>
    <w:rsid w:val="03E017D2"/>
    <w:rsid w:val="03E164C6"/>
    <w:rsid w:val="03E9192F"/>
    <w:rsid w:val="03EA2651"/>
    <w:rsid w:val="03ED3E80"/>
    <w:rsid w:val="03EE2141"/>
    <w:rsid w:val="03F1578E"/>
    <w:rsid w:val="04010CC3"/>
    <w:rsid w:val="042042C5"/>
    <w:rsid w:val="04294F27"/>
    <w:rsid w:val="045B0C31"/>
    <w:rsid w:val="0462668B"/>
    <w:rsid w:val="046A0D85"/>
    <w:rsid w:val="04785701"/>
    <w:rsid w:val="04955626"/>
    <w:rsid w:val="04983E5B"/>
    <w:rsid w:val="04986551"/>
    <w:rsid w:val="049D5915"/>
    <w:rsid w:val="049F6BF8"/>
    <w:rsid w:val="04A46CA4"/>
    <w:rsid w:val="04A70542"/>
    <w:rsid w:val="04A72B4D"/>
    <w:rsid w:val="04A942BA"/>
    <w:rsid w:val="04B54A0D"/>
    <w:rsid w:val="04BA2AA5"/>
    <w:rsid w:val="04BC6D59"/>
    <w:rsid w:val="04F512AE"/>
    <w:rsid w:val="04F67591"/>
    <w:rsid w:val="05065269"/>
    <w:rsid w:val="05143E2A"/>
    <w:rsid w:val="051672C8"/>
    <w:rsid w:val="05205A4F"/>
    <w:rsid w:val="052D0A47"/>
    <w:rsid w:val="054D4DC7"/>
    <w:rsid w:val="05527990"/>
    <w:rsid w:val="05575AC4"/>
    <w:rsid w:val="055B69DD"/>
    <w:rsid w:val="055C36EF"/>
    <w:rsid w:val="05600E1D"/>
    <w:rsid w:val="056B197B"/>
    <w:rsid w:val="056B20F3"/>
    <w:rsid w:val="056B77C2"/>
    <w:rsid w:val="05793C8D"/>
    <w:rsid w:val="057C552B"/>
    <w:rsid w:val="057E12A3"/>
    <w:rsid w:val="05901321"/>
    <w:rsid w:val="05926015"/>
    <w:rsid w:val="059E4B6A"/>
    <w:rsid w:val="05A012C8"/>
    <w:rsid w:val="05AA2F8E"/>
    <w:rsid w:val="05B501E1"/>
    <w:rsid w:val="05BB24F7"/>
    <w:rsid w:val="05C84EBD"/>
    <w:rsid w:val="05CC0E93"/>
    <w:rsid w:val="05DD332B"/>
    <w:rsid w:val="05E27A84"/>
    <w:rsid w:val="05F6352F"/>
    <w:rsid w:val="05F9767B"/>
    <w:rsid w:val="06055520"/>
    <w:rsid w:val="06093262"/>
    <w:rsid w:val="0616597F"/>
    <w:rsid w:val="063C5595"/>
    <w:rsid w:val="063E0A32"/>
    <w:rsid w:val="064531AD"/>
    <w:rsid w:val="064E5119"/>
    <w:rsid w:val="065232EA"/>
    <w:rsid w:val="06532730"/>
    <w:rsid w:val="06604E4C"/>
    <w:rsid w:val="066F069C"/>
    <w:rsid w:val="06723038"/>
    <w:rsid w:val="0673692E"/>
    <w:rsid w:val="067370A2"/>
    <w:rsid w:val="068A3C77"/>
    <w:rsid w:val="069468A4"/>
    <w:rsid w:val="06975FDD"/>
    <w:rsid w:val="06A15DA0"/>
    <w:rsid w:val="06A247C9"/>
    <w:rsid w:val="06A34224"/>
    <w:rsid w:val="06A520F4"/>
    <w:rsid w:val="06AB431A"/>
    <w:rsid w:val="06BA5298"/>
    <w:rsid w:val="06BC6527"/>
    <w:rsid w:val="06C248A3"/>
    <w:rsid w:val="06C26194"/>
    <w:rsid w:val="06C447C2"/>
    <w:rsid w:val="06C90C44"/>
    <w:rsid w:val="06CE1DB6"/>
    <w:rsid w:val="06D40AE3"/>
    <w:rsid w:val="06E95DE7"/>
    <w:rsid w:val="06EB0BBA"/>
    <w:rsid w:val="070954E4"/>
    <w:rsid w:val="07097292"/>
    <w:rsid w:val="070D6D82"/>
    <w:rsid w:val="071719AF"/>
    <w:rsid w:val="071874D5"/>
    <w:rsid w:val="071C0D73"/>
    <w:rsid w:val="0721282E"/>
    <w:rsid w:val="072E0AA7"/>
    <w:rsid w:val="072F3061"/>
    <w:rsid w:val="07320597"/>
    <w:rsid w:val="07321173"/>
    <w:rsid w:val="073C1416"/>
    <w:rsid w:val="07585B24"/>
    <w:rsid w:val="075B4A84"/>
    <w:rsid w:val="07770ECE"/>
    <w:rsid w:val="078556F2"/>
    <w:rsid w:val="078B5EF9"/>
    <w:rsid w:val="0790257B"/>
    <w:rsid w:val="07972101"/>
    <w:rsid w:val="07994BEA"/>
    <w:rsid w:val="079E3E7E"/>
    <w:rsid w:val="07A34FF1"/>
    <w:rsid w:val="07C02047"/>
    <w:rsid w:val="07CA6A21"/>
    <w:rsid w:val="07CC1841"/>
    <w:rsid w:val="07D605F8"/>
    <w:rsid w:val="07D925EB"/>
    <w:rsid w:val="07E94CFB"/>
    <w:rsid w:val="08030185"/>
    <w:rsid w:val="0818730D"/>
    <w:rsid w:val="081906D7"/>
    <w:rsid w:val="0822060B"/>
    <w:rsid w:val="08236132"/>
    <w:rsid w:val="08291466"/>
    <w:rsid w:val="082A490C"/>
    <w:rsid w:val="08327E6B"/>
    <w:rsid w:val="083C39D9"/>
    <w:rsid w:val="084D31AF"/>
    <w:rsid w:val="08585DDB"/>
    <w:rsid w:val="086560C1"/>
    <w:rsid w:val="086C7AD9"/>
    <w:rsid w:val="087002FA"/>
    <w:rsid w:val="08793F74"/>
    <w:rsid w:val="087F5A5E"/>
    <w:rsid w:val="08803584"/>
    <w:rsid w:val="08896F10"/>
    <w:rsid w:val="088B5A06"/>
    <w:rsid w:val="088C3CD7"/>
    <w:rsid w:val="088E7A4F"/>
    <w:rsid w:val="08931509"/>
    <w:rsid w:val="08A059D4"/>
    <w:rsid w:val="08A74FB5"/>
    <w:rsid w:val="08A76536"/>
    <w:rsid w:val="08AC41A7"/>
    <w:rsid w:val="08B43662"/>
    <w:rsid w:val="08B524B1"/>
    <w:rsid w:val="08B52B24"/>
    <w:rsid w:val="08B5310E"/>
    <w:rsid w:val="08C6368D"/>
    <w:rsid w:val="08CE42EF"/>
    <w:rsid w:val="08E458C1"/>
    <w:rsid w:val="090146C5"/>
    <w:rsid w:val="090351F0"/>
    <w:rsid w:val="090D25F9"/>
    <w:rsid w:val="090F0AED"/>
    <w:rsid w:val="091E5277"/>
    <w:rsid w:val="09293C1C"/>
    <w:rsid w:val="092D6B6D"/>
    <w:rsid w:val="092F353F"/>
    <w:rsid w:val="0933207F"/>
    <w:rsid w:val="093C56FD"/>
    <w:rsid w:val="09446EFA"/>
    <w:rsid w:val="095274DB"/>
    <w:rsid w:val="09540C99"/>
    <w:rsid w:val="09554A11"/>
    <w:rsid w:val="095E38C5"/>
    <w:rsid w:val="09700C89"/>
    <w:rsid w:val="09727A0F"/>
    <w:rsid w:val="0982598E"/>
    <w:rsid w:val="0983332C"/>
    <w:rsid w:val="09903C9B"/>
    <w:rsid w:val="09A03EDE"/>
    <w:rsid w:val="09B41737"/>
    <w:rsid w:val="09BF0010"/>
    <w:rsid w:val="09C149F8"/>
    <w:rsid w:val="09C474A0"/>
    <w:rsid w:val="09CD35A1"/>
    <w:rsid w:val="09D04526"/>
    <w:rsid w:val="09D4618F"/>
    <w:rsid w:val="09D61CB2"/>
    <w:rsid w:val="09D678FF"/>
    <w:rsid w:val="09D771D4"/>
    <w:rsid w:val="09ED69F7"/>
    <w:rsid w:val="09F77876"/>
    <w:rsid w:val="0A00672A"/>
    <w:rsid w:val="0A0124A3"/>
    <w:rsid w:val="0A0A1357"/>
    <w:rsid w:val="0A2552B4"/>
    <w:rsid w:val="0A27325C"/>
    <w:rsid w:val="0A33204C"/>
    <w:rsid w:val="0A4444E4"/>
    <w:rsid w:val="0A451789"/>
    <w:rsid w:val="0A4C7BC2"/>
    <w:rsid w:val="0A4D7496"/>
    <w:rsid w:val="0A502BA4"/>
    <w:rsid w:val="0A6E026B"/>
    <w:rsid w:val="0A6E045E"/>
    <w:rsid w:val="0A886875"/>
    <w:rsid w:val="0A8D3D36"/>
    <w:rsid w:val="0A911A78"/>
    <w:rsid w:val="0A9357F1"/>
    <w:rsid w:val="0AA620F0"/>
    <w:rsid w:val="0AA66B07"/>
    <w:rsid w:val="0AAA770C"/>
    <w:rsid w:val="0AAE6186"/>
    <w:rsid w:val="0AAF7283"/>
    <w:rsid w:val="0AB319EF"/>
    <w:rsid w:val="0AB47515"/>
    <w:rsid w:val="0AB81F1D"/>
    <w:rsid w:val="0AB83AA5"/>
    <w:rsid w:val="0ABD092B"/>
    <w:rsid w:val="0AC0235E"/>
    <w:rsid w:val="0AC736EC"/>
    <w:rsid w:val="0AC97464"/>
    <w:rsid w:val="0ACC2AB1"/>
    <w:rsid w:val="0ACE6829"/>
    <w:rsid w:val="0ACE7DA6"/>
    <w:rsid w:val="0AD16DE0"/>
    <w:rsid w:val="0AD5502B"/>
    <w:rsid w:val="0ADA1E45"/>
    <w:rsid w:val="0ADE2EB7"/>
    <w:rsid w:val="0AE92A74"/>
    <w:rsid w:val="0AEA5AF8"/>
    <w:rsid w:val="0AEC727C"/>
    <w:rsid w:val="0AF52A63"/>
    <w:rsid w:val="0AFB3396"/>
    <w:rsid w:val="0B0C55A3"/>
    <w:rsid w:val="0B0E30C9"/>
    <w:rsid w:val="0B1701D0"/>
    <w:rsid w:val="0B1765AE"/>
    <w:rsid w:val="0B220922"/>
    <w:rsid w:val="0B2E5767"/>
    <w:rsid w:val="0B2E703B"/>
    <w:rsid w:val="0B434407"/>
    <w:rsid w:val="0B487312"/>
    <w:rsid w:val="0B506FA0"/>
    <w:rsid w:val="0B521208"/>
    <w:rsid w:val="0B5A2A7C"/>
    <w:rsid w:val="0B5A630E"/>
    <w:rsid w:val="0B60538F"/>
    <w:rsid w:val="0B674587"/>
    <w:rsid w:val="0B741694"/>
    <w:rsid w:val="0B892750"/>
    <w:rsid w:val="0B8E7D66"/>
    <w:rsid w:val="0B8F34F7"/>
    <w:rsid w:val="0B951C7C"/>
    <w:rsid w:val="0BB05F2E"/>
    <w:rsid w:val="0BB91287"/>
    <w:rsid w:val="0BB9456C"/>
    <w:rsid w:val="0BBD02DF"/>
    <w:rsid w:val="0BBF6171"/>
    <w:rsid w:val="0BC856E1"/>
    <w:rsid w:val="0BD7170D"/>
    <w:rsid w:val="0BDD0D82"/>
    <w:rsid w:val="0BDF579C"/>
    <w:rsid w:val="0BFF25BC"/>
    <w:rsid w:val="0C143893"/>
    <w:rsid w:val="0C14470F"/>
    <w:rsid w:val="0C1C2106"/>
    <w:rsid w:val="0C216E2C"/>
    <w:rsid w:val="0C285840"/>
    <w:rsid w:val="0C2D2A4E"/>
    <w:rsid w:val="0C2F779B"/>
    <w:rsid w:val="0C362716"/>
    <w:rsid w:val="0C3A0B4C"/>
    <w:rsid w:val="0C410AA7"/>
    <w:rsid w:val="0C430CAB"/>
    <w:rsid w:val="0C476893"/>
    <w:rsid w:val="0C4D19CF"/>
    <w:rsid w:val="0C583F85"/>
    <w:rsid w:val="0C601702"/>
    <w:rsid w:val="0C662A91"/>
    <w:rsid w:val="0C711ABF"/>
    <w:rsid w:val="0C7358DA"/>
    <w:rsid w:val="0C884A9F"/>
    <w:rsid w:val="0C9D4705"/>
    <w:rsid w:val="0CA94DEC"/>
    <w:rsid w:val="0CBD5E72"/>
    <w:rsid w:val="0CC3034B"/>
    <w:rsid w:val="0CD8573D"/>
    <w:rsid w:val="0CE27731"/>
    <w:rsid w:val="0CE57E5A"/>
    <w:rsid w:val="0CEE22C4"/>
    <w:rsid w:val="0CF325CB"/>
    <w:rsid w:val="0CFF3A7E"/>
    <w:rsid w:val="0D026C5D"/>
    <w:rsid w:val="0D037C1E"/>
    <w:rsid w:val="0D077DD0"/>
    <w:rsid w:val="0D0B5B12"/>
    <w:rsid w:val="0D155086"/>
    <w:rsid w:val="0D2C045F"/>
    <w:rsid w:val="0D2C3CDA"/>
    <w:rsid w:val="0D314E4D"/>
    <w:rsid w:val="0D330BC5"/>
    <w:rsid w:val="0D375B3C"/>
    <w:rsid w:val="0D4349AA"/>
    <w:rsid w:val="0D5A5138"/>
    <w:rsid w:val="0D6106F1"/>
    <w:rsid w:val="0D690A8B"/>
    <w:rsid w:val="0D6B7290"/>
    <w:rsid w:val="0D8D133A"/>
    <w:rsid w:val="0D9553DC"/>
    <w:rsid w:val="0DA13CF8"/>
    <w:rsid w:val="0DB4420C"/>
    <w:rsid w:val="0DB82313"/>
    <w:rsid w:val="0DBA6115"/>
    <w:rsid w:val="0DD34156"/>
    <w:rsid w:val="0DD42D40"/>
    <w:rsid w:val="0DDE5D20"/>
    <w:rsid w:val="0DE0678A"/>
    <w:rsid w:val="0DE17024"/>
    <w:rsid w:val="0DE6032D"/>
    <w:rsid w:val="0DE95727"/>
    <w:rsid w:val="0DF2282E"/>
    <w:rsid w:val="0DF77E44"/>
    <w:rsid w:val="0E250204"/>
    <w:rsid w:val="0E2A021A"/>
    <w:rsid w:val="0E2B735A"/>
    <w:rsid w:val="0E2D37E1"/>
    <w:rsid w:val="0E342E47"/>
    <w:rsid w:val="0E370B89"/>
    <w:rsid w:val="0E407A3D"/>
    <w:rsid w:val="0E576B35"/>
    <w:rsid w:val="0E5D7161"/>
    <w:rsid w:val="0E601129"/>
    <w:rsid w:val="0E65716F"/>
    <w:rsid w:val="0E76520D"/>
    <w:rsid w:val="0E794CFD"/>
    <w:rsid w:val="0E8D69FB"/>
    <w:rsid w:val="0E952E69"/>
    <w:rsid w:val="0E9E5549"/>
    <w:rsid w:val="0EAD69A2"/>
    <w:rsid w:val="0EAF4BC3"/>
    <w:rsid w:val="0EB421D9"/>
    <w:rsid w:val="0EC67772"/>
    <w:rsid w:val="0ED46862"/>
    <w:rsid w:val="0EE7610B"/>
    <w:rsid w:val="0EF91020"/>
    <w:rsid w:val="0F041A3E"/>
    <w:rsid w:val="0F161043"/>
    <w:rsid w:val="0F1A028E"/>
    <w:rsid w:val="0F1B23BF"/>
    <w:rsid w:val="0F2033CB"/>
    <w:rsid w:val="0F24110D"/>
    <w:rsid w:val="0F2729AB"/>
    <w:rsid w:val="0F296820"/>
    <w:rsid w:val="0F3042F5"/>
    <w:rsid w:val="0F3E048F"/>
    <w:rsid w:val="0F4A7D20"/>
    <w:rsid w:val="0F4C5227"/>
    <w:rsid w:val="0F4D33AD"/>
    <w:rsid w:val="0F59068B"/>
    <w:rsid w:val="0F5918B2"/>
    <w:rsid w:val="0F592FC2"/>
    <w:rsid w:val="0F5A68DD"/>
    <w:rsid w:val="0F7200CA"/>
    <w:rsid w:val="0F7554C5"/>
    <w:rsid w:val="0F847DFE"/>
    <w:rsid w:val="0F887CE0"/>
    <w:rsid w:val="0FA16CAC"/>
    <w:rsid w:val="0FA20284"/>
    <w:rsid w:val="0FA30DF5"/>
    <w:rsid w:val="0FA47B58"/>
    <w:rsid w:val="0FAD6545"/>
    <w:rsid w:val="0FB87B11"/>
    <w:rsid w:val="0FCD6A7A"/>
    <w:rsid w:val="0FD348E1"/>
    <w:rsid w:val="0FD41C88"/>
    <w:rsid w:val="0FE93D56"/>
    <w:rsid w:val="0FF137B6"/>
    <w:rsid w:val="0FF56606"/>
    <w:rsid w:val="10070772"/>
    <w:rsid w:val="100C7306"/>
    <w:rsid w:val="10142E91"/>
    <w:rsid w:val="101910F7"/>
    <w:rsid w:val="101A606C"/>
    <w:rsid w:val="101F18D4"/>
    <w:rsid w:val="10260EB5"/>
    <w:rsid w:val="102B2696"/>
    <w:rsid w:val="1030763E"/>
    <w:rsid w:val="10357512"/>
    <w:rsid w:val="103A04BC"/>
    <w:rsid w:val="1045133B"/>
    <w:rsid w:val="104A4BA3"/>
    <w:rsid w:val="104B33C3"/>
    <w:rsid w:val="10521CAA"/>
    <w:rsid w:val="105241EB"/>
    <w:rsid w:val="105C22C3"/>
    <w:rsid w:val="10650E32"/>
    <w:rsid w:val="106A362C"/>
    <w:rsid w:val="107160CB"/>
    <w:rsid w:val="108A1444"/>
    <w:rsid w:val="109220A6"/>
    <w:rsid w:val="109379F9"/>
    <w:rsid w:val="10962339"/>
    <w:rsid w:val="109B53FF"/>
    <w:rsid w:val="10A1053B"/>
    <w:rsid w:val="10A1383E"/>
    <w:rsid w:val="10A30B98"/>
    <w:rsid w:val="10A51DDA"/>
    <w:rsid w:val="10B6453B"/>
    <w:rsid w:val="10C6046C"/>
    <w:rsid w:val="10D4446D"/>
    <w:rsid w:val="10EF3FDB"/>
    <w:rsid w:val="10FC3FD9"/>
    <w:rsid w:val="10FE2ABC"/>
    <w:rsid w:val="10FE6116"/>
    <w:rsid w:val="10FF6CE8"/>
    <w:rsid w:val="11056BC5"/>
    <w:rsid w:val="112076B2"/>
    <w:rsid w:val="1124702B"/>
    <w:rsid w:val="112733D2"/>
    <w:rsid w:val="11275E32"/>
    <w:rsid w:val="11276C93"/>
    <w:rsid w:val="11277267"/>
    <w:rsid w:val="112847B9"/>
    <w:rsid w:val="11357601"/>
    <w:rsid w:val="113D5E35"/>
    <w:rsid w:val="11401A55"/>
    <w:rsid w:val="114255A9"/>
    <w:rsid w:val="114415F3"/>
    <w:rsid w:val="114963B5"/>
    <w:rsid w:val="114C66F9"/>
    <w:rsid w:val="11511F61"/>
    <w:rsid w:val="11635C16"/>
    <w:rsid w:val="116752E1"/>
    <w:rsid w:val="116B3018"/>
    <w:rsid w:val="116E3FA7"/>
    <w:rsid w:val="11776A7F"/>
    <w:rsid w:val="117B2B3A"/>
    <w:rsid w:val="11837902"/>
    <w:rsid w:val="118A0FD0"/>
    <w:rsid w:val="119463E5"/>
    <w:rsid w:val="11A958FA"/>
    <w:rsid w:val="11AA11E9"/>
    <w:rsid w:val="11AC53EA"/>
    <w:rsid w:val="11AE1B1D"/>
    <w:rsid w:val="11B15073"/>
    <w:rsid w:val="11B16869"/>
    <w:rsid w:val="11BC387F"/>
    <w:rsid w:val="11BF6ECB"/>
    <w:rsid w:val="11D32976"/>
    <w:rsid w:val="11D74134"/>
    <w:rsid w:val="11E3705D"/>
    <w:rsid w:val="11EB22F1"/>
    <w:rsid w:val="11F1104F"/>
    <w:rsid w:val="11FA086A"/>
    <w:rsid w:val="11FF79A1"/>
    <w:rsid w:val="1205799E"/>
    <w:rsid w:val="120764FB"/>
    <w:rsid w:val="120963A4"/>
    <w:rsid w:val="121E7358"/>
    <w:rsid w:val="12203B99"/>
    <w:rsid w:val="122364EF"/>
    <w:rsid w:val="123C2AE6"/>
    <w:rsid w:val="1240492F"/>
    <w:rsid w:val="12435284"/>
    <w:rsid w:val="1246139A"/>
    <w:rsid w:val="12495C7F"/>
    <w:rsid w:val="124F46F3"/>
    <w:rsid w:val="12655488"/>
    <w:rsid w:val="126B0E01"/>
    <w:rsid w:val="126E7255"/>
    <w:rsid w:val="12887F77"/>
    <w:rsid w:val="1292638E"/>
    <w:rsid w:val="12980212"/>
    <w:rsid w:val="12A0556C"/>
    <w:rsid w:val="12A762DD"/>
    <w:rsid w:val="12B15170"/>
    <w:rsid w:val="12B26A30"/>
    <w:rsid w:val="12B75DF4"/>
    <w:rsid w:val="12BA2945"/>
    <w:rsid w:val="12C02EFB"/>
    <w:rsid w:val="12C54EC2"/>
    <w:rsid w:val="12CD73E7"/>
    <w:rsid w:val="12DC0087"/>
    <w:rsid w:val="12DD1CFF"/>
    <w:rsid w:val="12DE23AC"/>
    <w:rsid w:val="12FA11B0"/>
    <w:rsid w:val="12FC21DC"/>
    <w:rsid w:val="13116BD7"/>
    <w:rsid w:val="134A2234"/>
    <w:rsid w:val="134D0507"/>
    <w:rsid w:val="134F5012"/>
    <w:rsid w:val="135379FD"/>
    <w:rsid w:val="13542A95"/>
    <w:rsid w:val="13731567"/>
    <w:rsid w:val="13734411"/>
    <w:rsid w:val="1386741D"/>
    <w:rsid w:val="138E3B09"/>
    <w:rsid w:val="1399374C"/>
    <w:rsid w:val="13A01935"/>
    <w:rsid w:val="13A54954"/>
    <w:rsid w:val="13AF4D1D"/>
    <w:rsid w:val="13B50586"/>
    <w:rsid w:val="13B567D8"/>
    <w:rsid w:val="13B60690"/>
    <w:rsid w:val="13B924F4"/>
    <w:rsid w:val="13C133CE"/>
    <w:rsid w:val="13C62793"/>
    <w:rsid w:val="13D80718"/>
    <w:rsid w:val="13DC1FB6"/>
    <w:rsid w:val="13E64BE3"/>
    <w:rsid w:val="13F41B98"/>
    <w:rsid w:val="1404150D"/>
    <w:rsid w:val="140E5EE8"/>
    <w:rsid w:val="140E7C96"/>
    <w:rsid w:val="14164D9C"/>
    <w:rsid w:val="14272293"/>
    <w:rsid w:val="142A6628"/>
    <w:rsid w:val="142F03D2"/>
    <w:rsid w:val="1433594E"/>
    <w:rsid w:val="143B746A"/>
    <w:rsid w:val="143F60A1"/>
    <w:rsid w:val="144A1C76"/>
    <w:rsid w:val="144E2788"/>
    <w:rsid w:val="14522278"/>
    <w:rsid w:val="147719A1"/>
    <w:rsid w:val="148263CF"/>
    <w:rsid w:val="14860174"/>
    <w:rsid w:val="148D7D41"/>
    <w:rsid w:val="149503B7"/>
    <w:rsid w:val="14964EFA"/>
    <w:rsid w:val="149E1419"/>
    <w:rsid w:val="14A30D26"/>
    <w:rsid w:val="14A70CC1"/>
    <w:rsid w:val="14B5277B"/>
    <w:rsid w:val="14B60A59"/>
    <w:rsid w:val="14BA7E1E"/>
    <w:rsid w:val="14BB511C"/>
    <w:rsid w:val="14BE0C41"/>
    <w:rsid w:val="14BE641D"/>
    <w:rsid w:val="14CA2F04"/>
    <w:rsid w:val="14D0319D"/>
    <w:rsid w:val="14D743C8"/>
    <w:rsid w:val="14D8408E"/>
    <w:rsid w:val="14E30FA0"/>
    <w:rsid w:val="14EC447B"/>
    <w:rsid w:val="14F31229"/>
    <w:rsid w:val="150F0169"/>
    <w:rsid w:val="1524448A"/>
    <w:rsid w:val="152658DD"/>
    <w:rsid w:val="15325C06"/>
    <w:rsid w:val="1537655C"/>
    <w:rsid w:val="153A7F91"/>
    <w:rsid w:val="15464CEF"/>
    <w:rsid w:val="155618F4"/>
    <w:rsid w:val="155F2CB0"/>
    <w:rsid w:val="1561673B"/>
    <w:rsid w:val="1562473D"/>
    <w:rsid w:val="15655FDB"/>
    <w:rsid w:val="156D6C3E"/>
    <w:rsid w:val="157712F3"/>
    <w:rsid w:val="157955E3"/>
    <w:rsid w:val="158508BB"/>
    <w:rsid w:val="158F246E"/>
    <w:rsid w:val="15913B18"/>
    <w:rsid w:val="1594241D"/>
    <w:rsid w:val="15A63AA5"/>
    <w:rsid w:val="15AE1730"/>
    <w:rsid w:val="15B34F99"/>
    <w:rsid w:val="15B74298"/>
    <w:rsid w:val="15BD5E17"/>
    <w:rsid w:val="15C124DF"/>
    <w:rsid w:val="15CA5E3E"/>
    <w:rsid w:val="15CB185A"/>
    <w:rsid w:val="15D373E9"/>
    <w:rsid w:val="15E675F9"/>
    <w:rsid w:val="16012928"/>
    <w:rsid w:val="160202FE"/>
    <w:rsid w:val="16021A7C"/>
    <w:rsid w:val="161E23CB"/>
    <w:rsid w:val="16297009"/>
    <w:rsid w:val="16314110"/>
    <w:rsid w:val="163D62F3"/>
    <w:rsid w:val="1642310C"/>
    <w:rsid w:val="165A67C2"/>
    <w:rsid w:val="165C08BD"/>
    <w:rsid w:val="165D4F05"/>
    <w:rsid w:val="166E0EC0"/>
    <w:rsid w:val="166E53A0"/>
    <w:rsid w:val="1672275E"/>
    <w:rsid w:val="1674297A"/>
    <w:rsid w:val="167955B2"/>
    <w:rsid w:val="167B174F"/>
    <w:rsid w:val="16832BBD"/>
    <w:rsid w:val="16A91EF8"/>
    <w:rsid w:val="16AF28F4"/>
    <w:rsid w:val="16B6243B"/>
    <w:rsid w:val="16C86822"/>
    <w:rsid w:val="16D8386F"/>
    <w:rsid w:val="16DC407B"/>
    <w:rsid w:val="16ED0036"/>
    <w:rsid w:val="16EF7E2F"/>
    <w:rsid w:val="16F92E7F"/>
    <w:rsid w:val="17013AE2"/>
    <w:rsid w:val="1702234F"/>
    <w:rsid w:val="17084CA0"/>
    <w:rsid w:val="170F26A3"/>
    <w:rsid w:val="17125CEF"/>
    <w:rsid w:val="1713335A"/>
    <w:rsid w:val="172164A7"/>
    <w:rsid w:val="17283764"/>
    <w:rsid w:val="17297021"/>
    <w:rsid w:val="172B0B5F"/>
    <w:rsid w:val="17391882"/>
    <w:rsid w:val="173F5318"/>
    <w:rsid w:val="174560C4"/>
    <w:rsid w:val="17494CC2"/>
    <w:rsid w:val="176F3141"/>
    <w:rsid w:val="176F7017"/>
    <w:rsid w:val="17732C32"/>
    <w:rsid w:val="17771175"/>
    <w:rsid w:val="177D48E6"/>
    <w:rsid w:val="17822898"/>
    <w:rsid w:val="17864DA4"/>
    <w:rsid w:val="17943E3D"/>
    <w:rsid w:val="1799205D"/>
    <w:rsid w:val="17A708BC"/>
    <w:rsid w:val="17A761D3"/>
    <w:rsid w:val="17B40B54"/>
    <w:rsid w:val="17B926D9"/>
    <w:rsid w:val="17BF5E77"/>
    <w:rsid w:val="17D15EA0"/>
    <w:rsid w:val="17D810B2"/>
    <w:rsid w:val="17D905BB"/>
    <w:rsid w:val="17E256C1"/>
    <w:rsid w:val="17EB450E"/>
    <w:rsid w:val="17EC02EE"/>
    <w:rsid w:val="17ED1F4D"/>
    <w:rsid w:val="17EE4066"/>
    <w:rsid w:val="17F23842"/>
    <w:rsid w:val="17FA26C5"/>
    <w:rsid w:val="17FE13B3"/>
    <w:rsid w:val="17FF2102"/>
    <w:rsid w:val="18001FEB"/>
    <w:rsid w:val="180020CA"/>
    <w:rsid w:val="18283238"/>
    <w:rsid w:val="183103F7"/>
    <w:rsid w:val="18431E63"/>
    <w:rsid w:val="18463EA2"/>
    <w:rsid w:val="185D743E"/>
    <w:rsid w:val="185E5FF9"/>
    <w:rsid w:val="186900C0"/>
    <w:rsid w:val="18695385"/>
    <w:rsid w:val="186D58D3"/>
    <w:rsid w:val="187210E6"/>
    <w:rsid w:val="18754787"/>
    <w:rsid w:val="187D188E"/>
    <w:rsid w:val="188D2FE9"/>
    <w:rsid w:val="18951461"/>
    <w:rsid w:val="18972950"/>
    <w:rsid w:val="18A4506D"/>
    <w:rsid w:val="18C03380"/>
    <w:rsid w:val="18CB6921"/>
    <w:rsid w:val="18CF5FE8"/>
    <w:rsid w:val="18D864BA"/>
    <w:rsid w:val="18E37943"/>
    <w:rsid w:val="18F97167"/>
    <w:rsid w:val="18FE78A4"/>
    <w:rsid w:val="19081158"/>
    <w:rsid w:val="192B3098"/>
    <w:rsid w:val="192D6E10"/>
    <w:rsid w:val="1930319A"/>
    <w:rsid w:val="193C7053"/>
    <w:rsid w:val="193E61A4"/>
    <w:rsid w:val="1940737B"/>
    <w:rsid w:val="19650EFE"/>
    <w:rsid w:val="19652DB7"/>
    <w:rsid w:val="196F11D7"/>
    <w:rsid w:val="19710E29"/>
    <w:rsid w:val="197A63D2"/>
    <w:rsid w:val="19810F0A"/>
    <w:rsid w:val="19856C4C"/>
    <w:rsid w:val="19874772"/>
    <w:rsid w:val="199B1FCC"/>
    <w:rsid w:val="199D3F96"/>
    <w:rsid w:val="199F72EE"/>
    <w:rsid w:val="19A54B21"/>
    <w:rsid w:val="19A56C5D"/>
    <w:rsid w:val="19A978E6"/>
    <w:rsid w:val="19B25567"/>
    <w:rsid w:val="19D146ED"/>
    <w:rsid w:val="19D55670"/>
    <w:rsid w:val="19D652F0"/>
    <w:rsid w:val="19E10439"/>
    <w:rsid w:val="19E7558B"/>
    <w:rsid w:val="19ED6BE2"/>
    <w:rsid w:val="19EF5443"/>
    <w:rsid w:val="19FA7D56"/>
    <w:rsid w:val="1A0062D3"/>
    <w:rsid w:val="1A163D48"/>
    <w:rsid w:val="1A2069E9"/>
    <w:rsid w:val="1A233801"/>
    <w:rsid w:val="1A29199A"/>
    <w:rsid w:val="1A2D37EC"/>
    <w:rsid w:val="1A36396C"/>
    <w:rsid w:val="1A3D0518"/>
    <w:rsid w:val="1A436CF8"/>
    <w:rsid w:val="1A475BBD"/>
    <w:rsid w:val="1A4E6234"/>
    <w:rsid w:val="1A5D54D3"/>
    <w:rsid w:val="1A697DFC"/>
    <w:rsid w:val="1A703458"/>
    <w:rsid w:val="1A7A16C8"/>
    <w:rsid w:val="1AA411C1"/>
    <w:rsid w:val="1AB63AFC"/>
    <w:rsid w:val="1ABA103D"/>
    <w:rsid w:val="1ABF775B"/>
    <w:rsid w:val="1AC90F1B"/>
    <w:rsid w:val="1AD339E7"/>
    <w:rsid w:val="1ADA3EE1"/>
    <w:rsid w:val="1AF731C9"/>
    <w:rsid w:val="1B117FDB"/>
    <w:rsid w:val="1B13697B"/>
    <w:rsid w:val="1B142779"/>
    <w:rsid w:val="1B142EFF"/>
    <w:rsid w:val="1B1463F3"/>
    <w:rsid w:val="1B1C713C"/>
    <w:rsid w:val="1B38791F"/>
    <w:rsid w:val="1B3D262A"/>
    <w:rsid w:val="1B490020"/>
    <w:rsid w:val="1B4D72F6"/>
    <w:rsid w:val="1B505038"/>
    <w:rsid w:val="1B6260FC"/>
    <w:rsid w:val="1B6A181F"/>
    <w:rsid w:val="1B711710"/>
    <w:rsid w:val="1B80665D"/>
    <w:rsid w:val="1B8D003A"/>
    <w:rsid w:val="1B9C71EE"/>
    <w:rsid w:val="1BA47E6A"/>
    <w:rsid w:val="1BA57132"/>
    <w:rsid w:val="1BA63549"/>
    <w:rsid w:val="1BB572D3"/>
    <w:rsid w:val="1BC058AE"/>
    <w:rsid w:val="1BC079F6"/>
    <w:rsid w:val="1BCD0437"/>
    <w:rsid w:val="1BD215DB"/>
    <w:rsid w:val="1BD37F2D"/>
    <w:rsid w:val="1BDC57B4"/>
    <w:rsid w:val="1BDE2644"/>
    <w:rsid w:val="1BEE720D"/>
    <w:rsid w:val="1C187BE1"/>
    <w:rsid w:val="1C19367C"/>
    <w:rsid w:val="1C292553"/>
    <w:rsid w:val="1C2A5889"/>
    <w:rsid w:val="1C381FFA"/>
    <w:rsid w:val="1C5F19D6"/>
    <w:rsid w:val="1C6C7C4F"/>
    <w:rsid w:val="1C6F046E"/>
    <w:rsid w:val="1C7836C6"/>
    <w:rsid w:val="1C8256C5"/>
    <w:rsid w:val="1C8261A9"/>
    <w:rsid w:val="1C856F63"/>
    <w:rsid w:val="1C8B27CB"/>
    <w:rsid w:val="1C9706F7"/>
    <w:rsid w:val="1C986C96"/>
    <w:rsid w:val="1C9A47BD"/>
    <w:rsid w:val="1C9B22E3"/>
    <w:rsid w:val="1CA76CD8"/>
    <w:rsid w:val="1CAF1740"/>
    <w:rsid w:val="1CB533A4"/>
    <w:rsid w:val="1CC25AC1"/>
    <w:rsid w:val="1CCC6940"/>
    <w:rsid w:val="1CD501DC"/>
    <w:rsid w:val="1CD949E4"/>
    <w:rsid w:val="1CEB45D2"/>
    <w:rsid w:val="1CEE684F"/>
    <w:rsid w:val="1CF00880"/>
    <w:rsid w:val="1CF0262F"/>
    <w:rsid w:val="1CFB4B98"/>
    <w:rsid w:val="1D063DCA"/>
    <w:rsid w:val="1D080A44"/>
    <w:rsid w:val="1D0B7468"/>
    <w:rsid w:val="1D0D31E0"/>
    <w:rsid w:val="1D100F23"/>
    <w:rsid w:val="1D1F1166"/>
    <w:rsid w:val="1D214DD8"/>
    <w:rsid w:val="1D232A04"/>
    <w:rsid w:val="1D245D5D"/>
    <w:rsid w:val="1D2C5CF3"/>
    <w:rsid w:val="1D3537CC"/>
    <w:rsid w:val="1D392227"/>
    <w:rsid w:val="1D435D17"/>
    <w:rsid w:val="1D4A3ECE"/>
    <w:rsid w:val="1D526E45"/>
    <w:rsid w:val="1D5D2C41"/>
    <w:rsid w:val="1D5E6186"/>
    <w:rsid w:val="1D5F77B4"/>
    <w:rsid w:val="1D616B83"/>
    <w:rsid w:val="1D644DCB"/>
    <w:rsid w:val="1D725739"/>
    <w:rsid w:val="1D7414B2"/>
    <w:rsid w:val="1D7539BF"/>
    <w:rsid w:val="1D8965DF"/>
    <w:rsid w:val="1D8D2573"/>
    <w:rsid w:val="1D9531D6"/>
    <w:rsid w:val="1D9A07EC"/>
    <w:rsid w:val="1D9E652E"/>
    <w:rsid w:val="1DA65236"/>
    <w:rsid w:val="1DAB47A7"/>
    <w:rsid w:val="1DB21FDA"/>
    <w:rsid w:val="1DC00253"/>
    <w:rsid w:val="1DD2442A"/>
    <w:rsid w:val="1DD4487C"/>
    <w:rsid w:val="1DD71E6E"/>
    <w:rsid w:val="1DE21613"/>
    <w:rsid w:val="1DEB1048"/>
    <w:rsid w:val="1DEC46DC"/>
    <w:rsid w:val="1E081BFA"/>
    <w:rsid w:val="1E0B405F"/>
    <w:rsid w:val="1E0D5462"/>
    <w:rsid w:val="1E133E46"/>
    <w:rsid w:val="1E14059F"/>
    <w:rsid w:val="1E171854"/>
    <w:rsid w:val="1E220F0E"/>
    <w:rsid w:val="1E266884"/>
    <w:rsid w:val="1E29262D"/>
    <w:rsid w:val="1E2B3027"/>
    <w:rsid w:val="1E2B3800"/>
    <w:rsid w:val="1E3173A3"/>
    <w:rsid w:val="1E3824DF"/>
    <w:rsid w:val="1E401394"/>
    <w:rsid w:val="1E482598"/>
    <w:rsid w:val="1E4E5E36"/>
    <w:rsid w:val="1E546BED"/>
    <w:rsid w:val="1E583673"/>
    <w:rsid w:val="1E676920"/>
    <w:rsid w:val="1E696303"/>
    <w:rsid w:val="1E796654"/>
    <w:rsid w:val="1E894AE9"/>
    <w:rsid w:val="1E917E41"/>
    <w:rsid w:val="1E973D8F"/>
    <w:rsid w:val="1E9F430C"/>
    <w:rsid w:val="1EA2444E"/>
    <w:rsid w:val="1EA5569B"/>
    <w:rsid w:val="1EA9518B"/>
    <w:rsid w:val="1EAB43BF"/>
    <w:rsid w:val="1EB03510"/>
    <w:rsid w:val="1ECC2C27"/>
    <w:rsid w:val="1ED744A9"/>
    <w:rsid w:val="1EDA3596"/>
    <w:rsid w:val="1EDD6BE3"/>
    <w:rsid w:val="1EE05092"/>
    <w:rsid w:val="1EE771E5"/>
    <w:rsid w:val="1EEA3276"/>
    <w:rsid w:val="1EF67CA4"/>
    <w:rsid w:val="1F084DD8"/>
    <w:rsid w:val="1F096144"/>
    <w:rsid w:val="1F100D66"/>
    <w:rsid w:val="1F3B0A66"/>
    <w:rsid w:val="1F460C2C"/>
    <w:rsid w:val="1F464788"/>
    <w:rsid w:val="1F4A34C4"/>
    <w:rsid w:val="1F4B0BE5"/>
    <w:rsid w:val="1F5458C9"/>
    <w:rsid w:val="1F61071D"/>
    <w:rsid w:val="1F644E02"/>
    <w:rsid w:val="1F646DFE"/>
    <w:rsid w:val="1F703EFB"/>
    <w:rsid w:val="1F721A21"/>
    <w:rsid w:val="1F7D303B"/>
    <w:rsid w:val="1F90634B"/>
    <w:rsid w:val="1FA11324"/>
    <w:rsid w:val="1FA871F0"/>
    <w:rsid w:val="1FB44EF9"/>
    <w:rsid w:val="1FB84222"/>
    <w:rsid w:val="1FBB760D"/>
    <w:rsid w:val="1FBE0616"/>
    <w:rsid w:val="1FCB2EDF"/>
    <w:rsid w:val="1FD008EB"/>
    <w:rsid w:val="1FE450FF"/>
    <w:rsid w:val="1FE84A02"/>
    <w:rsid w:val="1FF2705D"/>
    <w:rsid w:val="1FF71F26"/>
    <w:rsid w:val="1FF97A4C"/>
    <w:rsid w:val="1FFD3825"/>
    <w:rsid w:val="200E486E"/>
    <w:rsid w:val="201900EE"/>
    <w:rsid w:val="202366CA"/>
    <w:rsid w:val="20387569"/>
    <w:rsid w:val="203B1E13"/>
    <w:rsid w:val="20473E83"/>
    <w:rsid w:val="204C636D"/>
    <w:rsid w:val="20614B3A"/>
    <w:rsid w:val="207662D8"/>
    <w:rsid w:val="209603B8"/>
    <w:rsid w:val="20971AA8"/>
    <w:rsid w:val="209824A8"/>
    <w:rsid w:val="20A756FA"/>
    <w:rsid w:val="20C0056A"/>
    <w:rsid w:val="20CA763A"/>
    <w:rsid w:val="20CB3F32"/>
    <w:rsid w:val="20DB03F7"/>
    <w:rsid w:val="20DB509F"/>
    <w:rsid w:val="20E71C8B"/>
    <w:rsid w:val="20EA7AE5"/>
    <w:rsid w:val="20ED61B3"/>
    <w:rsid w:val="20F30F33"/>
    <w:rsid w:val="20F326ED"/>
    <w:rsid w:val="20F32AC0"/>
    <w:rsid w:val="210466A8"/>
    <w:rsid w:val="21076199"/>
    <w:rsid w:val="21114949"/>
    <w:rsid w:val="211663DC"/>
    <w:rsid w:val="211C7E96"/>
    <w:rsid w:val="2120725A"/>
    <w:rsid w:val="21233ED6"/>
    <w:rsid w:val="21282C0A"/>
    <w:rsid w:val="212E5E1B"/>
    <w:rsid w:val="212E70E0"/>
    <w:rsid w:val="21334506"/>
    <w:rsid w:val="21336F8E"/>
    <w:rsid w:val="21350F58"/>
    <w:rsid w:val="213D1BBA"/>
    <w:rsid w:val="2148073F"/>
    <w:rsid w:val="214E3DC8"/>
    <w:rsid w:val="215568E2"/>
    <w:rsid w:val="215A276C"/>
    <w:rsid w:val="215C6000"/>
    <w:rsid w:val="216834DE"/>
    <w:rsid w:val="216F5067"/>
    <w:rsid w:val="21780E44"/>
    <w:rsid w:val="21843DDC"/>
    <w:rsid w:val="218F7CC1"/>
    <w:rsid w:val="21976AF2"/>
    <w:rsid w:val="21BA76AF"/>
    <w:rsid w:val="21BE0F4D"/>
    <w:rsid w:val="21C85735"/>
    <w:rsid w:val="21DC13D3"/>
    <w:rsid w:val="21DE15EF"/>
    <w:rsid w:val="21DE514B"/>
    <w:rsid w:val="21E309B4"/>
    <w:rsid w:val="21F97B82"/>
    <w:rsid w:val="22055B57"/>
    <w:rsid w:val="220E5EA2"/>
    <w:rsid w:val="2213132C"/>
    <w:rsid w:val="221650CB"/>
    <w:rsid w:val="2217065D"/>
    <w:rsid w:val="22212887"/>
    <w:rsid w:val="22244B28"/>
    <w:rsid w:val="22327245"/>
    <w:rsid w:val="223C1E72"/>
    <w:rsid w:val="223E191E"/>
    <w:rsid w:val="22457E73"/>
    <w:rsid w:val="2246638B"/>
    <w:rsid w:val="2254540E"/>
    <w:rsid w:val="22581FCA"/>
    <w:rsid w:val="225B679C"/>
    <w:rsid w:val="2266283C"/>
    <w:rsid w:val="226E0DC0"/>
    <w:rsid w:val="22742611"/>
    <w:rsid w:val="22754915"/>
    <w:rsid w:val="228F28EA"/>
    <w:rsid w:val="228F6446"/>
    <w:rsid w:val="22916662"/>
    <w:rsid w:val="22940D4A"/>
    <w:rsid w:val="22A80C8F"/>
    <w:rsid w:val="22C75BE0"/>
    <w:rsid w:val="22C77CA0"/>
    <w:rsid w:val="22D16A5E"/>
    <w:rsid w:val="22D24B66"/>
    <w:rsid w:val="22D86BB8"/>
    <w:rsid w:val="22E0277D"/>
    <w:rsid w:val="22E5075C"/>
    <w:rsid w:val="22E61AD1"/>
    <w:rsid w:val="22E86E52"/>
    <w:rsid w:val="22EC215A"/>
    <w:rsid w:val="22FB3ADB"/>
    <w:rsid w:val="22FF4DDB"/>
    <w:rsid w:val="231828DF"/>
    <w:rsid w:val="23344973"/>
    <w:rsid w:val="233D1BA1"/>
    <w:rsid w:val="23424069"/>
    <w:rsid w:val="23426AD9"/>
    <w:rsid w:val="235337E9"/>
    <w:rsid w:val="23564262"/>
    <w:rsid w:val="23627FFE"/>
    <w:rsid w:val="236B2A0F"/>
    <w:rsid w:val="2373123B"/>
    <w:rsid w:val="237C2E6E"/>
    <w:rsid w:val="237F470C"/>
    <w:rsid w:val="23825FAA"/>
    <w:rsid w:val="238302C4"/>
    <w:rsid w:val="23855E79"/>
    <w:rsid w:val="238B30B1"/>
    <w:rsid w:val="23934E18"/>
    <w:rsid w:val="23977823"/>
    <w:rsid w:val="239D2373"/>
    <w:rsid w:val="23A777BF"/>
    <w:rsid w:val="23B1063E"/>
    <w:rsid w:val="23B256F6"/>
    <w:rsid w:val="23B71285"/>
    <w:rsid w:val="23D06FAE"/>
    <w:rsid w:val="23D20703"/>
    <w:rsid w:val="23D25365"/>
    <w:rsid w:val="23D467C7"/>
    <w:rsid w:val="23DE3A3B"/>
    <w:rsid w:val="23EF1C03"/>
    <w:rsid w:val="23F24EDE"/>
    <w:rsid w:val="240117C9"/>
    <w:rsid w:val="2403533D"/>
    <w:rsid w:val="24066741"/>
    <w:rsid w:val="240B0A87"/>
    <w:rsid w:val="24172B97"/>
    <w:rsid w:val="24194B61"/>
    <w:rsid w:val="241D4CE0"/>
    <w:rsid w:val="24272C2A"/>
    <w:rsid w:val="242B0E14"/>
    <w:rsid w:val="24352998"/>
    <w:rsid w:val="243D3F00"/>
    <w:rsid w:val="244379D9"/>
    <w:rsid w:val="24482D50"/>
    <w:rsid w:val="24547947"/>
    <w:rsid w:val="245C4A4D"/>
    <w:rsid w:val="245C502B"/>
    <w:rsid w:val="24602446"/>
    <w:rsid w:val="246F43D6"/>
    <w:rsid w:val="24741D97"/>
    <w:rsid w:val="24776688"/>
    <w:rsid w:val="247D74E1"/>
    <w:rsid w:val="2483647E"/>
    <w:rsid w:val="24894380"/>
    <w:rsid w:val="2491226B"/>
    <w:rsid w:val="24A0493A"/>
    <w:rsid w:val="24A65CC9"/>
    <w:rsid w:val="24B10C56"/>
    <w:rsid w:val="24B87AC6"/>
    <w:rsid w:val="24BF6A58"/>
    <w:rsid w:val="24C41DFA"/>
    <w:rsid w:val="24DD6118"/>
    <w:rsid w:val="24E632E3"/>
    <w:rsid w:val="24E862E1"/>
    <w:rsid w:val="24EA02AB"/>
    <w:rsid w:val="24F15F1A"/>
    <w:rsid w:val="24FF4F71"/>
    <w:rsid w:val="250255F5"/>
    <w:rsid w:val="250749B9"/>
    <w:rsid w:val="251946ED"/>
    <w:rsid w:val="251B2F97"/>
    <w:rsid w:val="252A2238"/>
    <w:rsid w:val="252B4B4C"/>
    <w:rsid w:val="252C4420"/>
    <w:rsid w:val="252E4B0E"/>
    <w:rsid w:val="25304C09"/>
    <w:rsid w:val="2534229A"/>
    <w:rsid w:val="25353E3D"/>
    <w:rsid w:val="253F220B"/>
    <w:rsid w:val="254D1570"/>
    <w:rsid w:val="25535E50"/>
    <w:rsid w:val="255E161A"/>
    <w:rsid w:val="25675458"/>
    <w:rsid w:val="25722B4A"/>
    <w:rsid w:val="25757B75"/>
    <w:rsid w:val="25781413"/>
    <w:rsid w:val="25983863"/>
    <w:rsid w:val="259C15A5"/>
    <w:rsid w:val="259D2BC3"/>
    <w:rsid w:val="259D4699"/>
    <w:rsid w:val="25A62424"/>
    <w:rsid w:val="25C74149"/>
    <w:rsid w:val="25CE3729"/>
    <w:rsid w:val="25CE54D7"/>
    <w:rsid w:val="25E22B06"/>
    <w:rsid w:val="25E25E3F"/>
    <w:rsid w:val="25E42F4C"/>
    <w:rsid w:val="25E60A73"/>
    <w:rsid w:val="260809E9"/>
    <w:rsid w:val="26086C3B"/>
    <w:rsid w:val="260B7378"/>
    <w:rsid w:val="262E5F76"/>
    <w:rsid w:val="2630060C"/>
    <w:rsid w:val="263A04C3"/>
    <w:rsid w:val="264504D7"/>
    <w:rsid w:val="265264CD"/>
    <w:rsid w:val="26527EB6"/>
    <w:rsid w:val="26555BF8"/>
    <w:rsid w:val="266F312E"/>
    <w:rsid w:val="267F67D1"/>
    <w:rsid w:val="268A3AF4"/>
    <w:rsid w:val="26924756"/>
    <w:rsid w:val="26943B21"/>
    <w:rsid w:val="269C7383"/>
    <w:rsid w:val="26A85D28"/>
    <w:rsid w:val="26B1683D"/>
    <w:rsid w:val="26B50445"/>
    <w:rsid w:val="26B741BD"/>
    <w:rsid w:val="26B91CE3"/>
    <w:rsid w:val="26E1123A"/>
    <w:rsid w:val="26F1147D"/>
    <w:rsid w:val="27090EBD"/>
    <w:rsid w:val="270C275B"/>
    <w:rsid w:val="270C62B7"/>
    <w:rsid w:val="271C3769"/>
    <w:rsid w:val="271D42F5"/>
    <w:rsid w:val="274E68CF"/>
    <w:rsid w:val="274F43F6"/>
    <w:rsid w:val="27677991"/>
    <w:rsid w:val="27714EC5"/>
    <w:rsid w:val="27724186"/>
    <w:rsid w:val="277F4E9F"/>
    <w:rsid w:val="27870033"/>
    <w:rsid w:val="279A5885"/>
    <w:rsid w:val="27A13B3C"/>
    <w:rsid w:val="27B150B0"/>
    <w:rsid w:val="27BD3EA0"/>
    <w:rsid w:val="27C30F70"/>
    <w:rsid w:val="27CD6642"/>
    <w:rsid w:val="27CE5138"/>
    <w:rsid w:val="27E02BE5"/>
    <w:rsid w:val="27EA37A1"/>
    <w:rsid w:val="27F751B9"/>
    <w:rsid w:val="2807098C"/>
    <w:rsid w:val="2808303D"/>
    <w:rsid w:val="28122235"/>
    <w:rsid w:val="28186EDD"/>
    <w:rsid w:val="281A2C55"/>
    <w:rsid w:val="281A7810"/>
    <w:rsid w:val="281C0ED6"/>
    <w:rsid w:val="281D44F4"/>
    <w:rsid w:val="28247630"/>
    <w:rsid w:val="28277120"/>
    <w:rsid w:val="28281F6E"/>
    <w:rsid w:val="283A6E54"/>
    <w:rsid w:val="28497097"/>
    <w:rsid w:val="28520641"/>
    <w:rsid w:val="285254AF"/>
    <w:rsid w:val="28590922"/>
    <w:rsid w:val="285A12A4"/>
    <w:rsid w:val="28725C14"/>
    <w:rsid w:val="287331EF"/>
    <w:rsid w:val="287C56BE"/>
    <w:rsid w:val="288410D3"/>
    <w:rsid w:val="288D78CB"/>
    <w:rsid w:val="28975901"/>
    <w:rsid w:val="28B22E8E"/>
    <w:rsid w:val="28C73828"/>
    <w:rsid w:val="28C74606"/>
    <w:rsid w:val="28D177B8"/>
    <w:rsid w:val="28D86697"/>
    <w:rsid w:val="28E136A8"/>
    <w:rsid w:val="28E751E7"/>
    <w:rsid w:val="28E82D54"/>
    <w:rsid w:val="28EC4F31"/>
    <w:rsid w:val="28F61640"/>
    <w:rsid w:val="29003BF9"/>
    <w:rsid w:val="290430D7"/>
    <w:rsid w:val="29051C5B"/>
    <w:rsid w:val="290C7E89"/>
    <w:rsid w:val="29116558"/>
    <w:rsid w:val="291B0A33"/>
    <w:rsid w:val="291C4345"/>
    <w:rsid w:val="2920429C"/>
    <w:rsid w:val="29325D7D"/>
    <w:rsid w:val="29387837"/>
    <w:rsid w:val="2940493E"/>
    <w:rsid w:val="294361DC"/>
    <w:rsid w:val="29497E76"/>
    <w:rsid w:val="29581C87"/>
    <w:rsid w:val="295B4BE8"/>
    <w:rsid w:val="295B7A36"/>
    <w:rsid w:val="295F415D"/>
    <w:rsid w:val="296D0D0C"/>
    <w:rsid w:val="2973448D"/>
    <w:rsid w:val="297E7214"/>
    <w:rsid w:val="297E7AA9"/>
    <w:rsid w:val="29820015"/>
    <w:rsid w:val="29835518"/>
    <w:rsid w:val="298F3DBD"/>
    <w:rsid w:val="29986303"/>
    <w:rsid w:val="29B175E9"/>
    <w:rsid w:val="29B57C35"/>
    <w:rsid w:val="29C15A7E"/>
    <w:rsid w:val="29CE1F49"/>
    <w:rsid w:val="29D31370"/>
    <w:rsid w:val="29D65F52"/>
    <w:rsid w:val="29DA6B40"/>
    <w:rsid w:val="29EC6437"/>
    <w:rsid w:val="29F511B0"/>
    <w:rsid w:val="2A20476E"/>
    <w:rsid w:val="2A224043"/>
    <w:rsid w:val="2A351FC9"/>
    <w:rsid w:val="2A40439A"/>
    <w:rsid w:val="2A467D32"/>
    <w:rsid w:val="2A472D1F"/>
    <w:rsid w:val="2A50295E"/>
    <w:rsid w:val="2A595154"/>
    <w:rsid w:val="2A663F30"/>
    <w:rsid w:val="2A67601F"/>
    <w:rsid w:val="2A6E59AA"/>
    <w:rsid w:val="2A705EE0"/>
    <w:rsid w:val="2A742AF1"/>
    <w:rsid w:val="2A80636F"/>
    <w:rsid w:val="2A832D34"/>
    <w:rsid w:val="2A8645D2"/>
    <w:rsid w:val="2A994305"/>
    <w:rsid w:val="2AB8321B"/>
    <w:rsid w:val="2AC11AAE"/>
    <w:rsid w:val="2AD93071"/>
    <w:rsid w:val="2ADC2444"/>
    <w:rsid w:val="2AE46A67"/>
    <w:rsid w:val="2AE75A40"/>
    <w:rsid w:val="2AE90B77"/>
    <w:rsid w:val="2AF05827"/>
    <w:rsid w:val="2AF32DF4"/>
    <w:rsid w:val="2AF7102C"/>
    <w:rsid w:val="2AF92FF6"/>
    <w:rsid w:val="2AFA2DA0"/>
    <w:rsid w:val="2B0976E2"/>
    <w:rsid w:val="2B0D717B"/>
    <w:rsid w:val="2B0F4B7F"/>
    <w:rsid w:val="2B1971F4"/>
    <w:rsid w:val="2B1A4D1A"/>
    <w:rsid w:val="2B1B085C"/>
    <w:rsid w:val="2B231E21"/>
    <w:rsid w:val="2B2341D4"/>
    <w:rsid w:val="2B2362C5"/>
    <w:rsid w:val="2B2F6A18"/>
    <w:rsid w:val="2B4040E8"/>
    <w:rsid w:val="2B4759DA"/>
    <w:rsid w:val="2B520958"/>
    <w:rsid w:val="2B5449A3"/>
    <w:rsid w:val="2B593A95"/>
    <w:rsid w:val="2B5946AE"/>
    <w:rsid w:val="2B5B5818"/>
    <w:rsid w:val="2B626DED"/>
    <w:rsid w:val="2B65068C"/>
    <w:rsid w:val="2B77216D"/>
    <w:rsid w:val="2B7D7783"/>
    <w:rsid w:val="2B876463"/>
    <w:rsid w:val="2B8D0DF2"/>
    <w:rsid w:val="2B9176D3"/>
    <w:rsid w:val="2B996587"/>
    <w:rsid w:val="2BA07258"/>
    <w:rsid w:val="2BA63059"/>
    <w:rsid w:val="2BA64975"/>
    <w:rsid w:val="2BC84B7C"/>
    <w:rsid w:val="2BCF3D57"/>
    <w:rsid w:val="2BD23748"/>
    <w:rsid w:val="2BDE3F9A"/>
    <w:rsid w:val="2BE07D12"/>
    <w:rsid w:val="2BE72A2F"/>
    <w:rsid w:val="2BFD6B16"/>
    <w:rsid w:val="2C11611D"/>
    <w:rsid w:val="2C195BCB"/>
    <w:rsid w:val="2C2307D1"/>
    <w:rsid w:val="2C251BC9"/>
    <w:rsid w:val="2C293F03"/>
    <w:rsid w:val="2C2E4F21"/>
    <w:rsid w:val="2C3562B0"/>
    <w:rsid w:val="2C530119"/>
    <w:rsid w:val="2C530FC5"/>
    <w:rsid w:val="2C5963B4"/>
    <w:rsid w:val="2C781282"/>
    <w:rsid w:val="2C882884"/>
    <w:rsid w:val="2C8C57D9"/>
    <w:rsid w:val="2C982E3F"/>
    <w:rsid w:val="2CA50E4D"/>
    <w:rsid w:val="2CA9661B"/>
    <w:rsid w:val="2CBC7D0B"/>
    <w:rsid w:val="2CDE24A4"/>
    <w:rsid w:val="2CE36373"/>
    <w:rsid w:val="2CE473C3"/>
    <w:rsid w:val="2CE62292"/>
    <w:rsid w:val="2CE81574"/>
    <w:rsid w:val="2CED26E7"/>
    <w:rsid w:val="2CF05A49"/>
    <w:rsid w:val="2CFA3055"/>
    <w:rsid w:val="2CFC7024"/>
    <w:rsid w:val="2D0637A8"/>
    <w:rsid w:val="2D151C3D"/>
    <w:rsid w:val="2D2A393B"/>
    <w:rsid w:val="2D2F71A3"/>
    <w:rsid w:val="2D407A5D"/>
    <w:rsid w:val="2D410C84"/>
    <w:rsid w:val="2D497877"/>
    <w:rsid w:val="2D4D7629"/>
    <w:rsid w:val="2D594220"/>
    <w:rsid w:val="2D5C2167"/>
    <w:rsid w:val="2D630BFB"/>
    <w:rsid w:val="2D6B1B0F"/>
    <w:rsid w:val="2D71156A"/>
    <w:rsid w:val="2D750DE2"/>
    <w:rsid w:val="2D7626DC"/>
    <w:rsid w:val="2D79041E"/>
    <w:rsid w:val="2D7B0D8F"/>
    <w:rsid w:val="2D7E4F38"/>
    <w:rsid w:val="2D8423CF"/>
    <w:rsid w:val="2D845E3C"/>
    <w:rsid w:val="2D9167E1"/>
    <w:rsid w:val="2D947006"/>
    <w:rsid w:val="2DA21723"/>
    <w:rsid w:val="2DA22EE3"/>
    <w:rsid w:val="2DB5581A"/>
    <w:rsid w:val="2DB651CE"/>
    <w:rsid w:val="2DB80F46"/>
    <w:rsid w:val="2DBA45D0"/>
    <w:rsid w:val="2DBF1599"/>
    <w:rsid w:val="2DC25921"/>
    <w:rsid w:val="2DC323CF"/>
    <w:rsid w:val="2DCB66B1"/>
    <w:rsid w:val="2DD13DB6"/>
    <w:rsid w:val="2DD6761F"/>
    <w:rsid w:val="2DE578D6"/>
    <w:rsid w:val="2E02460C"/>
    <w:rsid w:val="2E112405"/>
    <w:rsid w:val="2E141EF5"/>
    <w:rsid w:val="2E215DBB"/>
    <w:rsid w:val="2E254102"/>
    <w:rsid w:val="2E2E50D0"/>
    <w:rsid w:val="2E327F86"/>
    <w:rsid w:val="2E3C1B78"/>
    <w:rsid w:val="2E3F6F72"/>
    <w:rsid w:val="2E43133B"/>
    <w:rsid w:val="2E4611BF"/>
    <w:rsid w:val="2E61726F"/>
    <w:rsid w:val="2E625356"/>
    <w:rsid w:val="2E652751"/>
    <w:rsid w:val="2E6D7F83"/>
    <w:rsid w:val="2E750BE6"/>
    <w:rsid w:val="2E782484"/>
    <w:rsid w:val="2E7917ED"/>
    <w:rsid w:val="2E8A57EA"/>
    <w:rsid w:val="2E8D60F4"/>
    <w:rsid w:val="2E8E770B"/>
    <w:rsid w:val="2E960B24"/>
    <w:rsid w:val="2EA17C2D"/>
    <w:rsid w:val="2EC13E2B"/>
    <w:rsid w:val="2ED27DE6"/>
    <w:rsid w:val="2ED973C6"/>
    <w:rsid w:val="2EDF46A6"/>
    <w:rsid w:val="2EE144CD"/>
    <w:rsid w:val="2EF23F15"/>
    <w:rsid w:val="2F012EAA"/>
    <w:rsid w:val="2F07144B"/>
    <w:rsid w:val="2F1136DD"/>
    <w:rsid w:val="2F120DEC"/>
    <w:rsid w:val="2F176568"/>
    <w:rsid w:val="2F195BDB"/>
    <w:rsid w:val="2F324CFE"/>
    <w:rsid w:val="2F3A22BE"/>
    <w:rsid w:val="2F414F6C"/>
    <w:rsid w:val="2F47393F"/>
    <w:rsid w:val="2F48361F"/>
    <w:rsid w:val="2F5A15FE"/>
    <w:rsid w:val="2F5C1CA1"/>
    <w:rsid w:val="2F666780"/>
    <w:rsid w:val="2F6F34DE"/>
    <w:rsid w:val="2F6F3887"/>
    <w:rsid w:val="2F7013AD"/>
    <w:rsid w:val="2F735768"/>
    <w:rsid w:val="2F7376B5"/>
    <w:rsid w:val="2F8A377B"/>
    <w:rsid w:val="2FB13C97"/>
    <w:rsid w:val="2FBE58BE"/>
    <w:rsid w:val="2FC02334"/>
    <w:rsid w:val="2FC71915"/>
    <w:rsid w:val="2FE95D01"/>
    <w:rsid w:val="2FF124EE"/>
    <w:rsid w:val="2FF43D8C"/>
    <w:rsid w:val="2FF63FA8"/>
    <w:rsid w:val="30033D52"/>
    <w:rsid w:val="300C37CC"/>
    <w:rsid w:val="300C557A"/>
    <w:rsid w:val="30122F2A"/>
    <w:rsid w:val="301B4C7C"/>
    <w:rsid w:val="30226B4B"/>
    <w:rsid w:val="302F707F"/>
    <w:rsid w:val="30335D45"/>
    <w:rsid w:val="30446AC1"/>
    <w:rsid w:val="304D3DB8"/>
    <w:rsid w:val="3058422F"/>
    <w:rsid w:val="305F1531"/>
    <w:rsid w:val="3062519A"/>
    <w:rsid w:val="30702C2E"/>
    <w:rsid w:val="30731155"/>
    <w:rsid w:val="30750B58"/>
    <w:rsid w:val="30771E1C"/>
    <w:rsid w:val="30814620"/>
    <w:rsid w:val="30914616"/>
    <w:rsid w:val="30A06DD2"/>
    <w:rsid w:val="30A12166"/>
    <w:rsid w:val="30A21A3A"/>
    <w:rsid w:val="30A225D6"/>
    <w:rsid w:val="30A92773"/>
    <w:rsid w:val="30C714A1"/>
    <w:rsid w:val="30CB0F91"/>
    <w:rsid w:val="30DC4687"/>
    <w:rsid w:val="30E54344"/>
    <w:rsid w:val="30F3360B"/>
    <w:rsid w:val="30F80DE7"/>
    <w:rsid w:val="30F83639"/>
    <w:rsid w:val="30FC1FBF"/>
    <w:rsid w:val="310B5831"/>
    <w:rsid w:val="311A1EC0"/>
    <w:rsid w:val="311E166F"/>
    <w:rsid w:val="31215055"/>
    <w:rsid w:val="3126266B"/>
    <w:rsid w:val="31305298"/>
    <w:rsid w:val="31336B36"/>
    <w:rsid w:val="3135694E"/>
    <w:rsid w:val="31357963"/>
    <w:rsid w:val="313E02B7"/>
    <w:rsid w:val="314630E4"/>
    <w:rsid w:val="31481E6B"/>
    <w:rsid w:val="31494069"/>
    <w:rsid w:val="314B0324"/>
    <w:rsid w:val="314D409C"/>
    <w:rsid w:val="31561180"/>
    <w:rsid w:val="31593DA6"/>
    <w:rsid w:val="316C3324"/>
    <w:rsid w:val="31737159"/>
    <w:rsid w:val="317469F0"/>
    <w:rsid w:val="317A6539"/>
    <w:rsid w:val="318529D6"/>
    <w:rsid w:val="31916A3A"/>
    <w:rsid w:val="31A16F20"/>
    <w:rsid w:val="31A47A9A"/>
    <w:rsid w:val="31B9528D"/>
    <w:rsid w:val="31BB5832"/>
    <w:rsid w:val="31BC6B2B"/>
    <w:rsid w:val="31CC4FC0"/>
    <w:rsid w:val="31D420C7"/>
    <w:rsid w:val="31E24FE8"/>
    <w:rsid w:val="31F14A27"/>
    <w:rsid w:val="31F6028F"/>
    <w:rsid w:val="31FA1C8E"/>
    <w:rsid w:val="3207424B"/>
    <w:rsid w:val="321E1594"/>
    <w:rsid w:val="32226D06"/>
    <w:rsid w:val="32291158"/>
    <w:rsid w:val="322E7A29"/>
    <w:rsid w:val="32316565"/>
    <w:rsid w:val="323F29E8"/>
    <w:rsid w:val="32432710"/>
    <w:rsid w:val="32503428"/>
    <w:rsid w:val="325721DC"/>
    <w:rsid w:val="32630039"/>
    <w:rsid w:val="326A5353"/>
    <w:rsid w:val="326D67C9"/>
    <w:rsid w:val="32812E6C"/>
    <w:rsid w:val="328C0BF4"/>
    <w:rsid w:val="328E34BA"/>
    <w:rsid w:val="32A43020"/>
    <w:rsid w:val="32AB622F"/>
    <w:rsid w:val="32B141B6"/>
    <w:rsid w:val="32BC15F9"/>
    <w:rsid w:val="32C4213C"/>
    <w:rsid w:val="32D3412D"/>
    <w:rsid w:val="32D34AE9"/>
    <w:rsid w:val="32D87FF7"/>
    <w:rsid w:val="32E12F3D"/>
    <w:rsid w:val="32E4458C"/>
    <w:rsid w:val="32E63421"/>
    <w:rsid w:val="32F125F3"/>
    <w:rsid w:val="330B38C7"/>
    <w:rsid w:val="331A1D5C"/>
    <w:rsid w:val="332901F1"/>
    <w:rsid w:val="33291F9F"/>
    <w:rsid w:val="33330402"/>
    <w:rsid w:val="334C7FB6"/>
    <w:rsid w:val="3355064F"/>
    <w:rsid w:val="335566C7"/>
    <w:rsid w:val="335E1555"/>
    <w:rsid w:val="336E20A7"/>
    <w:rsid w:val="33705E1F"/>
    <w:rsid w:val="33784CD4"/>
    <w:rsid w:val="337E3FFB"/>
    <w:rsid w:val="3381625B"/>
    <w:rsid w:val="339438A7"/>
    <w:rsid w:val="33973471"/>
    <w:rsid w:val="339C02C7"/>
    <w:rsid w:val="33AD7074"/>
    <w:rsid w:val="33B66837"/>
    <w:rsid w:val="33B734CA"/>
    <w:rsid w:val="33B772DB"/>
    <w:rsid w:val="33BE0C5D"/>
    <w:rsid w:val="33C5637D"/>
    <w:rsid w:val="33D148B1"/>
    <w:rsid w:val="33D41194"/>
    <w:rsid w:val="34007024"/>
    <w:rsid w:val="34021AFB"/>
    <w:rsid w:val="340C2973"/>
    <w:rsid w:val="34140EA1"/>
    <w:rsid w:val="341445BE"/>
    <w:rsid w:val="34160775"/>
    <w:rsid w:val="341B222F"/>
    <w:rsid w:val="341E7629"/>
    <w:rsid w:val="34302DF7"/>
    <w:rsid w:val="34417BB0"/>
    <w:rsid w:val="34433534"/>
    <w:rsid w:val="344C4197"/>
    <w:rsid w:val="344C595B"/>
    <w:rsid w:val="344D5560"/>
    <w:rsid w:val="34515C51"/>
    <w:rsid w:val="34525525"/>
    <w:rsid w:val="34541C67"/>
    <w:rsid w:val="345D3529"/>
    <w:rsid w:val="346911EC"/>
    <w:rsid w:val="34797724"/>
    <w:rsid w:val="347D25A2"/>
    <w:rsid w:val="347D634E"/>
    <w:rsid w:val="34844F8A"/>
    <w:rsid w:val="348F7DDE"/>
    <w:rsid w:val="3491064E"/>
    <w:rsid w:val="34945B3E"/>
    <w:rsid w:val="349F69BC"/>
    <w:rsid w:val="34B82A8C"/>
    <w:rsid w:val="34CA2C65"/>
    <w:rsid w:val="34CD64E5"/>
    <w:rsid w:val="34D50630"/>
    <w:rsid w:val="34E601D4"/>
    <w:rsid w:val="34E97C37"/>
    <w:rsid w:val="34EB3A52"/>
    <w:rsid w:val="34F85FE0"/>
    <w:rsid w:val="350570DE"/>
    <w:rsid w:val="35123632"/>
    <w:rsid w:val="35152E25"/>
    <w:rsid w:val="351E0FBF"/>
    <w:rsid w:val="351F5D4F"/>
    <w:rsid w:val="35245113"/>
    <w:rsid w:val="352C084C"/>
    <w:rsid w:val="352E5F92"/>
    <w:rsid w:val="35386E11"/>
    <w:rsid w:val="35387DBC"/>
    <w:rsid w:val="355377A7"/>
    <w:rsid w:val="355E0625"/>
    <w:rsid w:val="35610116"/>
    <w:rsid w:val="35641F52"/>
    <w:rsid w:val="35647C06"/>
    <w:rsid w:val="35780FBB"/>
    <w:rsid w:val="357A11D7"/>
    <w:rsid w:val="357F059C"/>
    <w:rsid w:val="358362DE"/>
    <w:rsid w:val="35845BB2"/>
    <w:rsid w:val="358856A2"/>
    <w:rsid w:val="35902379"/>
    <w:rsid w:val="35931206"/>
    <w:rsid w:val="35A3428A"/>
    <w:rsid w:val="35A61FCC"/>
    <w:rsid w:val="35AB1391"/>
    <w:rsid w:val="35B459B0"/>
    <w:rsid w:val="35C67F79"/>
    <w:rsid w:val="35D46B3A"/>
    <w:rsid w:val="35E618D4"/>
    <w:rsid w:val="35EA1EB9"/>
    <w:rsid w:val="35EF5204"/>
    <w:rsid w:val="35F26FC0"/>
    <w:rsid w:val="35F965A0"/>
    <w:rsid w:val="35FA7C22"/>
    <w:rsid w:val="360B67E0"/>
    <w:rsid w:val="360D204B"/>
    <w:rsid w:val="361C2353"/>
    <w:rsid w:val="36293BE7"/>
    <w:rsid w:val="362F3572"/>
    <w:rsid w:val="363650FE"/>
    <w:rsid w:val="36376730"/>
    <w:rsid w:val="36380B2B"/>
    <w:rsid w:val="363B35F3"/>
    <w:rsid w:val="36483084"/>
    <w:rsid w:val="3660331A"/>
    <w:rsid w:val="366A4DA8"/>
    <w:rsid w:val="367A2CC1"/>
    <w:rsid w:val="368340BC"/>
    <w:rsid w:val="36873BAC"/>
    <w:rsid w:val="368C4D1E"/>
    <w:rsid w:val="36A2002D"/>
    <w:rsid w:val="36A93B22"/>
    <w:rsid w:val="36AA789A"/>
    <w:rsid w:val="36CD50B4"/>
    <w:rsid w:val="36E3431A"/>
    <w:rsid w:val="36E508D2"/>
    <w:rsid w:val="36F1357C"/>
    <w:rsid w:val="36F8683E"/>
    <w:rsid w:val="370B0433"/>
    <w:rsid w:val="370D6BF3"/>
    <w:rsid w:val="370E2CA9"/>
    <w:rsid w:val="37134290"/>
    <w:rsid w:val="37230FE6"/>
    <w:rsid w:val="37235104"/>
    <w:rsid w:val="37294C63"/>
    <w:rsid w:val="372F5372"/>
    <w:rsid w:val="37500442"/>
    <w:rsid w:val="37667C65"/>
    <w:rsid w:val="376C4B50"/>
    <w:rsid w:val="376D09FB"/>
    <w:rsid w:val="378775CA"/>
    <w:rsid w:val="378C12B0"/>
    <w:rsid w:val="378E0F6A"/>
    <w:rsid w:val="379F6CD3"/>
    <w:rsid w:val="37AB5678"/>
    <w:rsid w:val="37AC4521"/>
    <w:rsid w:val="37B00EE0"/>
    <w:rsid w:val="37B51097"/>
    <w:rsid w:val="37BB4934"/>
    <w:rsid w:val="37C95891"/>
    <w:rsid w:val="37CD55EE"/>
    <w:rsid w:val="37D7646D"/>
    <w:rsid w:val="37DB7B4C"/>
    <w:rsid w:val="37E42938"/>
    <w:rsid w:val="37EF30CB"/>
    <w:rsid w:val="37F0752F"/>
    <w:rsid w:val="3810730B"/>
    <w:rsid w:val="381551E7"/>
    <w:rsid w:val="381E6620"/>
    <w:rsid w:val="382B67B9"/>
    <w:rsid w:val="382C30EA"/>
    <w:rsid w:val="382F0057"/>
    <w:rsid w:val="386619A9"/>
    <w:rsid w:val="38671F87"/>
    <w:rsid w:val="38675A43"/>
    <w:rsid w:val="386D6DD1"/>
    <w:rsid w:val="38754708"/>
    <w:rsid w:val="38774730"/>
    <w:rsid w:val="38787C50"/>
    <w:rsid w:val="388F14AF"/>
    <w:rsid w:val="38995E18"/>
    <w:rsid w:val="38AC5B4C"/>
    <w:rsid w:val="38AD753C"/>
    <w:rsid w:val="38C84008"/>
    <w:rsid w:val="38D46E50"/>
    <w:rsid w:val="38DE02D7"/>
    <w:rsid w:val="38DE1104"/>
    <w:rsid w:val="38E71DB9"/>
    <w:rsid w:val="38FD66B8"/>
    <w:rsid w:val="391536F1"/>
    <w:rsid w:val="39212BFF"/>
    <w:rsid w:val="39297DD7"/>
    <w:rsid w:val="3934169D"/>
    <w:rsid w:val="39413160"/>
    <w:rsid w:val="39455658"/>
    <w:rsid w:val="394C7435"/>
    <w:rsid w:val="39503072"/>
    <w:rsid w:val="39504729"/>
    <w:rsid w:val="39564590"/>
    <w:rsid w:val="39567866"/>
    <w:rsid w:val="396513C2"/>
    <w:rsid w:val="39655A83"/>
    <w:rsid w:val="39700927"/>
    <w:rsid w:val="397505BB"/>
    <w:rsid w:val="39772357"/>
    <w:rsid w:val="39801AB6"/>
    <w:rsid w:val="39AB1D70"/>
    <w:rsid w:val="39AC21AD"/>
    <w:rsid w:val="39BE0EE5"/>
    <w:rsid w:val="39BF24C9"/>
    <w:rsid w:val="39C11183"/>
    <w:rsid w:val="39CA46C9"/>
    <w:rsid w:val="39CE1AF2"/>
    <w:rsid w:val="39D54C2E"/>
    <w:rsid w:val="39D709A6"/>
    <w:rsid w:val="39D8471E"/>
    <w:rsid w:val="39E11825"/>
    <w:rsid w:val="3A0E0140"/>
    <w:rsid w:val="3A1439A9"/>
    <w:rsid w:val="3A20010E"/>
    <w:rsid w:val="3A325BDD"/>
    <w:rsid w:val="3A43428E"/>
    <w:rsid w:val="3A442255"/>
    <w:rsid w:val="3A4A73CA"/>
    <w:rsid w:val="3A4A7EAF"/>
    <w:rsid w:val="3A4D6EBA"/>
    <w:rsid w:val="3A530B59"/>
    <w:rsid w:val="3A5F4EC9"/>
    <w:rsid w:val="3A60099C"/>
    <w:rsid w:val="3A614714"/>
    <w:rsid w:val="3A701AE7"/>
    <w:rsid w:val="3A751F6D"/>
    <w:rsid w:val="3A751FF8"/>
    <w:rsid w:val="3A7A7445"/>
    <w:rsid w:val="3A856654"/>
    <w:rsid w:val="3A8F1281"/>
    <w:rsid w:val="3A9202A3"/>
    <w:rsid w:val="3AA249B4"/>
    <w:rsid w:val="3AAA3F5A"/>
    <w:rsid w:val="3AAF170A"/>
    <w:rsid w:val="3AAF36D1"/>
    <w:rsid w:val="3ADB199C"/>
    <w:rsid w:val="3AE726C9"/>
    <w:rsid w:val="3AE74C19"/>
    <w:rsid w:val="3AE74FB2"/>
    <w:rsid w:val="3AEE244B"/>
    <w:rsid w:val="3AF37043"/>
    <w:rsid w:val="3AF42E08"/>
    <w:rsid w:val="3AFA77EE"/>
    <w:rsid w:val="3B027CA5"/>
    <w:rsid w:val="3B052A04"/>
    <w:rsid w:val="3B0E2DDA"/>
    <w:rsid w:val="3B0F5F1E"/>
    <w:rsid w:val="3B145FCE"/>
    <w:rsid w:val="3B161490"/>
    <w:rsid w:val="3B212C76"/>
    <w:rsid w:val="3B286E98"/>
    <w:rsid w:val="3B2A0FAA"/>
    <w:rsid w:val="3B2D45F6"/>
    <w:rsid w:val="3B370564"/>
    <w:rsid w:val="3B3E38D8"/>
    <w:rsid w:val="3B4B164C"/>
    <w:rsid w:val="3B4C194A"/>
    <w:rsid w:val="3B4D6996"/>
    <w:rsid w:val="3B661580"/>
    <w:rsid w:val="3B6B3809"/>
    <w:rsid w:val="3B6D21F6"/>
    <w:rsid w:val="3B716F4F"/>
    <w:rsid w:val="3B742225"/>
    <w:rsid w:val="3B9052B1"/>
    <w:rsid w:val="3B974891"/>
    <w:rsid w:val="3B9968D7"/>
    <w:rsid w:val="3B9A21B6"/>
    <w:rsid w:val="3BA725FA"/>
    <w:rsid w:val="3BB469C1"/>
    <w:rsid w:val="3BBF16F2"/>
    <w:rsid w:val="3BC84C17"/>
    <w:rsid w:val="3BCC2061"/>
    <w:rsid w:val="3BD57167"/>
    <w:rsid w:val="3BD74C8E"/>
    <w:rsid w:val="3BDF247E"/>
    <w:rsid w:val="3BE4515D"/>
    <w:rsid w:val="3C0D0E14"/>
    <w:rsid w:val="3C1A2DCC"/>
    <w:rsid w:val="3C2105FF"/>
    <w:rsid w:val="3C296861"/>
    <w:rsid w:val="3C3B0549"/>
    <w:rsid w:val="3C3C6DD9"/>
    <w:rsid w:val="3C3C71E7"/>
    <w:rsid w:val="3C3F2833"/>
    <w:rsid w:val="3C3F2CA9"/>
    <w:rsid w:val="3C4340D1"/>
    <w:rsid w:val="3C4F4660"/>
    <w:rsid w:val="3C5A58BF"/>
    <w:rsid w:val="3C5F437A"/>
    <w:rsid w:val="3C700C2E"/>
    <w:rsid w:val="3C7838D8"/>
    <w:rsid w:val="3C7B12D9"/>
    <w:rsid w:val="3C7D08D2"/>
    <w:rsid w:val="3C81109D"/>
    <w:rsid w:val="3C8D4BE6"/>
    <w:rsid w:val="3C972910"/>
    <w:rsid w:val="3C9E41E6"/>
    <w:rsid w:val="3CA03A65"/>
    <w:rsid w:val="3CA32DC2"/>
    <w:rsid w:val="3CA35C8F"/>
    <w:rsid w:val="3CA64660"/>
    <w:rsid w:val="3CB02FE2"/>
    <w:rsid w:val="3CB426D1"/>
    <w:rsid w:val="3CBA2E20"/>
    <w:rsid w:val="3CBA584F"/>
    <w:rsid w:val="3CC2593E"/>
    <w:rsid w:val="3CCA27A0"/>
    <w:rsid w:val="3CCD42E3"/>
    <w:rsid w:val="3CD041E6"/>
    <w:rsid w:val="3CD2268F"/>
    <w:rsid w:val="3CD236A7"/>
    <w:rsid w:val="3CE37662"/>
    <w:rsid w:val="3CF16057"/>
    <w:rsid w:val="3CF96E86"/>
    <w:rsid w:val="3D0E2985"/>
    <w:rsid w:val="3D17730C"/>
    <w:rsid w:val="3D2421AD"/>
    <w:rsid w:val="3D285EDE"/>
    <w:rsid w:val="3D332398"/>
    <w:rsid w:val="3D38218A"/>
    <w:rsid w:val="3D3879AE"/>
    <w:rsid w:val="3D4072AC"/>
    <w:rsid w:val="3D430101"/>
    <w:rsid w:val="3D4716C0"/>
    <w:rsid w:val="3D471A96"/>
    <w:rsid w:val="3D49081C"/>
    <w:rsid w:val="3D495B02"/>
    <w:rsid w:val="3D4B0D0D"/>
    <w:rsid w:val="3D4E5423"/>
    <w:rsid w:val="3D5E514C"/>
    <w:rsid w:val="3D61606F"/>
    <w:rsid w:val="3D6407A3"/>
    <w:rsid w:val="3D6A1B31"/>
    <w:rsid w:val="3D6E0CFC"/>
    <w:rsid w:val="3D772342"/>
    <w:rsid w:val="3D7D1F70"/>
    <w:rsid w:val="3D864BBD"/>
    <w:rsid w:val="3D8F29B1"/>
    <w:rsid w:val="3D986300"/>
    <w:rsid w:val="3D9F7A2D"/>
    <w:rsid w:val="3DA45043"/>
    <w:rsid w:val="3DA9265A"/>
    <w:rsid w:val="3DAE273F"/>
    <w:rsid w:val="3DB177F2"/>
    <w:rsid w:val="3DB70E50"/>
    <w:rsid w:val="3DBA6551"/>
    <w:rsid w:val="3DBB0C28"/>
    <w:rsid w:val="3DBB413B"/>
    <w:rsid w:val="3DBD172D"/>
    <w:rsid w:val="3DD05E38"/>
    <w:rsid w:val="3DD11BB1"/>
    <w:rsid w:val="3DD212E6"/>
    <w:rsid w:val="3DE47B36"/>
    <w:rsid w:val="3DF02037"/>
    <w:rsid w:val="3DF633C5"/>
    <w:rsid w:val="3DFB09DB"/>
    <w:rsid w:val="3DFF1EE5"/>
    <w:rsid w:val="3E082405"/>
    <w:rsid w:val="3E256EF6"/>
    <w:rsid w:val="3E283728"/>
    <w:rsid w:val="3E2C41B2"/>
    <w:rsid w:val="3E2D328B"/>
    <w:rsid w:val="3E33159B"/>
    <w:rsid w:val="3E3360D8"/>
    <w:rsid w:val="3E4E094E"/>
    <w:rsid w:val="3E593710"/>
    <w:rsid w:val="3E5E1696"/>
    <w:rsid w:val="3E622809"/>
    <w:rsid w:val="3E66054B"/>
    <w:rsid w:val="3E73637F"/>
    <w:rsid w:val="3E75078E"/>
    <w:rsid w:val="3E8B6203"/>
    <w:rsid w:val="3E9A6DB8"/>
    <w:rsid w:val="3EB551D3"/>
    <w:rsid w:val="3EBC016B"/>
    <w:rsid w:val="3EC86B10"/>
    <w:rsid w:val="3ECA6D2C"/>
    <w:rsid w:val="3EE83B16"/>
    <w:rsid w:val="3EE94A45"/>
    <w:rsid w:val="3EF1755B"/>
    <w:rsid w:val="3EF40F58"/>
    <w:rsid w:val="3EF43606"/>
    <w:rsid w:val="3F1365D4"/>
    <w:rsid w:val="3F2006FA"/>
    <w:rsid w:val="3F212620"/>
    <w:rsid w:val="3F235B23"/>
    <w:rsid w:val="3F266AA8"/>
    <w:rsid w:val="3F2F3033"/>
    <w:rsid w:val="3F3B757B"/>
    <w:rsid w:val="3F43263A"/>
    <w:rsid w:val="3F476E49"/>
    <w:rsid w:val="3F4A00E2"/>
    <w:rsid w:val="3F520ACF"/>
    <w:rsid w:val="3F6820A1"/>
    <w:rsid w:val="3F6F342F"/>
    <w:rsid w:val="3F7B1DD4"/>
    <w:rsid w:val="3F7E3CD2"/>
    <w:rsid w:val="3F7E4557"/>
    <w:rsid w:val="3F80563C"/>
    <w:rsid w:val="3F827606"/>
    <w:rsid w:val="3F9517DD"/>
    <w:rsid w:val="3F980BD8"/>
    <w:rsid w:val="3FA4757D"/>
    <w:rsid w:val="3FA94C03"/>
    <w:rsid w:val="3FBC0D90"/>
    <w:rsid w:val="3FC26FB4"/>
    <w:rsid w:val="3FC47810"/>
    <w:rsid w:val="3FC92B3F"/>
    <w:rsid w:val="3FCE0156"/>
    <w:rsid w:val="3FD06939"/>
    <w:rsid w:val="3FD414E4"/>
    <w:rsid w:val="3FD9007F"/>
    <w:rsid w:val="3FDA7850"/>
    <w:rsid w:val="3FDF4BCE"/>
    <w:rsid w:val="3FE43F67"/>
    <w:rsid w:val="3FED6A1C"/>
    <w:rsid w:val="3FF53C7D"/>
    <w:rsid w:val="3FFF099E"/>
    <w:rsid w:val="400E5854"/>
    <w:rsid w:val="401377ED"/>
    <w:rsid w:val="40325CE1"/>
    <w:rsid w:val="403B4612"/>
    <w:rsid w:val="403E2A31"/>
    <w:rsid w:val="405014B2"/>
    <w:rsid w:val="4056719A"/>
    <w:rsid w:val="40574C1C"/>
    <w:rsid w:val="40582115"/>
    <w:rsid w:val="405D772B"/>
    <w:rsid w:val="40601A49"/>
    <w:rsid w:val="4068698B"/>
    <w:rsid w:val="40700735"/>
    <w:rsid w:val="40743417"/>
    <w:rsid w:val="407B43AF"/>
    <w:rsid w:val="407B650D"/>
    <w:rsid w:val="40896772"/>
    <w:rsid w:val="408E5B37"/>
    <w:rsid w:val="40980F08"/>
    <w:rsid w:val="409F5F96"/>
    <w:rsid w:val="40A37834"/>
    <w:rsid w:val="40AB60E6"/>
    <w:rsid w:val="40C43051"/>
    <w:rsid w:val="40D02652"/>
    <w:rsid w:val="40D50D6D"/>
    <w:rsid w:val="40DE086C"/>
    <w:rsid w:val="40EA1C0C"/>
    <w:rsid w:val="40EA6776"/>
    <w:rsid w:val="40FC0CF2"/>
    <w:rsid w:val="410C4FE4"/>
    <w:rsid w:val="411B4EC2"/>
    <w:rsid w:val="411C1395"/>
    <w:rsid w:val="41200E85"/>
    <w:rsid w:val="4131331A"/>
    <w:rsid w:val="41322966"/>
    <w:rsid w:val="414B422F"/>
    <w:rsid w:val="414C3A28"/>
    <w:rsid w:val="41560B72"/>
    <w:rsid w:val="415F3042"/>
    <w:rsid w:val="4162149D"/>
    <w:rsid w:val="4168094C"/>
    <w:rsid w:val="416C7DC4"/>
    <w:rsid w:val="416F5968"/>
    <w:rsid w:val="41766CF7"/>
    <w:rsid w:val="417B1E50"/>
    <w:rsid w:val="4182744A"/>
    <w:rsid w:val="418846C7"/>
    <w:rsid w:val="418971CD"/>
    <w:rsid w:val="419378A9"/>
    <w:rsid w:val="419902A7"/>
    <w:rsid w:val="41B63597"/>
    <w:rsid w:val="41C51A2C"/>
    <w:rsid w:val="41DD5F42"/>
    <w:rsid w:val="41F03A91"/>
    <w:rsid w:val="41F55468"/>
    <w:rsid w:val="41F61BE6"/>
    <w:rsid w:val="41F67E38"/>
    <w:rsid w:val="41FA1801"/>
    <w:rsid w:val="41FB71FC"/>
    <w:rsid w:val="41FC65D1"/>
    <w:rsid w:val="421013B6"/>
    <w:rsid w:val="42194FF4"/>
    <w:rsid w:val="421D3616"/>
    <w:rsid w:val="421E213D"/>
    <w:rsid w:val="42232C0D"/>
    <w:rsid w:val="42257709"/>
    <w:rsid w:val="422624CB"/>
    <w:rsid w:val="422829D7"/>
    <w:rsid w:val="42313766"/>
    <w:rsid w:val="42336996"/>
    <w:rsid w:val="423710E3"/>
    <w:rsid w:val="42384898"/>
    <w:rsid w:val="423A66F4"/>
    <w:rsid w:val="424741EF"/>
    <w:rsid w:val="42521AB5"/>
    <w:rsid w:val="426258BF"/>
    <w:rsid w:val="426923B8"/>
    <w:rsid w:val="42772D26"/>
    <w:rsid w:val="427C7112"/>
    <w:rsid w:val="428F4C18"/>
    <w:rsid w:val="42903DE8"/>
    <w:rsid w:val="429419CB"/>
    <w:rsid w:val="429477F5"/>
    <w:rsid w:val="429751D6"/>
    <w:rsid w:val="429977EB"/>
    <w:rsid w:val="42A218FD"/>
    <w:rsid w:val="42B15B0D"/>
    <w:rsid w:val="42B34B73"/>
    <w:rsid w:val="42B81B39"/>
    <w:rsid w:val="42D00689"/>
    <w:rsid w:val="42D256BA"/>
    <w:rsid w:val="42D77B11"/>
    <w:rsid w:val="42DA024F"/>
    <w:rsid w:val="42F01E2A"/>
    <w:rsid w:val="42F02AD9"/>
    <w:rsid w:val="42FB634B"/>
    <w:rsid w:val="4303280C"/>
    <w:rsid w:val="43040332"/>
    <w:rsid w:val="430640AA"/>
    <w:rsid w:val="431B0ECD"/>
    <w:rsid w:val="4320516C"/>
    <w:rsid w:val="4322087F"/>
    <w:rsid w:val="432664FB"/>
    <w:rsid w:val="432937C0"/>
    <w:rsid w:val="432A7D99"/>
    <w:rsid w:val="43317379"/>
    <w:rsid w:val="43413334"/>
    <w:rsid w:val="434D1CD9"/>
    <w:rsid w:val="43625B18"/>
    <w:rsid w:val="43795FC4"/>
    <w:rsid w:val="438B475E"/>
    <w:rsid w:val="43994F1E"/>
    <w:rsid w:val="43A2458A"/>
    <w:rsid w:val="43A45688"/>
    <w:rsid w:val="43A55671"/>
    <w:rsid w:val="43BE4985"/>
    <w:rsid w:val="43CD7E5E"/>
    <w:rsid w:val="43CD7F4E"/>
    <w:rsid w:val="43D1290A"/>
    <w:rsid w:val="43D441A9"/>
    <w:rsid w:val="43D6471F"/>
    <w:rsid w:val="43E268C5"/>
    <w:rsid w:val="43FD36FF"/>
    <w:rsid w:val="440305EA"/>
    <w:rsid w:val="441A605F"/>
    <w:rsid w:val="44226CC2"/>
    <w:rsid w:val="442645F7"/>
    <w:rsid w:val="44420159"/>
    <w:rsid w:val="44451010"/>
    <w:rsid w:val="444906F3"/>
    <w:rsid w:val="444C0B8A"/>
    <w:rsid w:val="44526B9D"/>
    <w:rsid w:val="445F1CC4"/>
    <w:rsid w:val="44623562"/>
    <w:rsid w:val="446370A9"/>
    <w:rsid w:val="446948F1"/>
    <w:rsid w:val="44775260"/>
    <w:rsid w:val="4484172B"/>
    <w:rsid w:val="448636F5"/>
    <w:rsid w:val="448C05DF"/>
    <w:rsid w:val="44942A12"/>
    <w:rsid w:val="44A818BD"/>
    <w:rsid w:val="44B032A7"/>
    <w:rsid w:val="44C164DB"/>
    <w:rsid w:val="44E00044"/>
    <w:rsid w:val="44E60BDF"/>
    <w:rsid w:val="45076705"/>
    <w:rsid w:val="45100DE8"/>
    <w:rsid w:val="45107462"/>
    <w:rsid w:val="45154265"/>
    <w:rsid w:val="4517259F"/>
    <w:rsid w:val="45192BB0"/>
    <w:rsid w:val="45232CF2"/>
    <w:rsid w:val="45237196"/>
    <w:rsid w:val="4524487F"/>
    <w:rsid w:val="45321617"/>
    <w:rsid w:val="45344EFF"/>
    <w:rsid w:val="453C3DB3"/>
    <w:rsid w:val="4544658E"/>
    <w:rsid w:val="45485D39"/>
    <w:rsid w:val="455530C7"/>
    <w:rsid w:val="456E6C69"/>
    <w:rsid w:val="4574354D"/>
    <w:rsid w:val="458A2D71"/>
    <w:rsid w:val="458D49BE"/>
    <w:rsid w:val="458E3310"/>
    <w:rsid w:val="459A1DEF"/>
    <w:rsid w:val="45A831F7"/>
    <w:rsid w:val="45AC5330"/>
    <w:rsid w:val="45AF27D7"/>
    <w:rsid w:val="45B4263E"/>
    <w:rsid w:val="45B664DB"/>
    <w:rsid w:val="45C168FC"/>
    <w:rsid w:val="45C22EE1"/>
    <w:rsid w:val="45C5024D"/>
    <w:rsid w:val="45CA7611"/>
    <w:rsid w:val="45D63502"/>
    <w:rsid w:val="45D668A1"/>
    <w:rsid w:val="45D74037"/>
    <w:rsid w:val="45DE30BD"/>
    <w:rsid w:val="45E06E35"/>
    <w:rsid w:val="45E74D31"/>
    <w:rsid w:val="45EC021D"/>
    <w:rsid w:val="45EC1836"/>
    <w:rsid w:val="45F10750"/>
    <w:rsid w:val="45F75F2C"/>
    <w:rsid w:val="45FB105F"/>
    <w:rsid w:val="46081EE8"/>
    <w:rsid w:val="460D5750"/>
    <w:rsid w:val="460E39A2"/>
    <w:rsid w:val="46113203"/>
    <w:rsid w:val="462B7E98"/>
    <w:rsid w:val="462D72B0"/>
    <w:rsid w:val="46312B9A"/>
    <w:rsid w:val="4653416F"/>
    <w:rsid w:val="465C7DFF"/>
    <w:rsid w:val="4662784A"/>
    <w:rsid w:val="467402E6"/>
    <w:rsid w:val="468123C6"/>
    <w:rsid w:val="468B5E5B"/>
    <w:rsid w:val="468C0D6B"/>
    <w:rsid w:val="468E4AE3"/>
    <w:rsid w:val="469665B3"/>
    <w:rsid w:val="469F45FA"/>
    <w:rsid w:val="46A1726F"/>
    <w:rsid w:val="46A1772B"/>
    <w:rsid w:val="46AB7443"/>
    <w:rsid w:val="46AE0B03"/>
    <w:rsid w:val="46B86CD6"/>
    <w:rsid w:val="46BC33FE"/>
    <w:rsid w:val="46BF2EEE"/>
    <w:rsid w:val="46C44060"/>
    <w:rsid w:val="46C67DD9"/>
    <w:rsid w:val="46D2329C"/>
    <w:rsid w:val="46E42955"/>
    <w:rsid w:val="46E62229"/>
    <w:rsid w:val="46EE7542"/>
    <w:rsid w:val="46F05330"/>
    <w:rsid w:val="46FA2079"/>
    <w:rsid w:val="46FD57C4"/>
    <w:rsid w:val="47094169"/>
    <w:rsid w:val="47174151"/>
    <w:rsid w:val="471825FE"/>
    <w:rsid w:val="471A1ED2"/>
    <w:rsid w:val="47223952"/>
    <w:rsid w:val="47334527"/>
    <w:rsid w:val="47356D0C"/>
    <w:rsid w:val="4736431E"/>
    <w:rsid w:val="47372A84"/>
    <w:rsid w:val="47376F28"/>
    <w:rsid w:val="473860EE"/>
    <w:rsid w:val="473C009B"/>
    <w:rsid w:val="475C2B41"/>
    <w:rsid w:val="476F5AB7"/>
    <w:rsid w:val="477E6905"/>
    <w:rsid w:val="47AD0F98"/>
    <w:rsid w:val="47AF2F63"/>
    <w:rsid w:val="47B33C33"/>
    <w:rsid w:val="47B90762"/>
    <w:rsid w:val="47B90C22"/>
    <w:rsid w:val="47C6205A"/>
    <w:rsid w:val="47C65758"/>
    <w:rsid w:val="47CA7D9C"/>
    <w:rsid w:val="47CE2F43"/>
    <w:rsid w:val="47DE73B4"/>
    <w:rsid w:val="47E867F8"/>
    <w:rsid w:val="47F02414"/>
    <w:rsid w:val="47F170D7"/>
    <w:rsid w:val="47F6649C"/>
    <w:rsid w:val="47F72214"/>
    <w:rsid w:val="47F941DE"/>
    <w:rsid w:val="47FE7A46"/>
    <w:rsid w:val="480611A1"/>
    <w:rsid w:val="481F1C5E"/>
    <w:rsid w:val="48221986"/>
    <w:rsid w:val="4826706B"/>
    <w:rsid w:val="4827025C"/>
    <w:rsid w:val="482B1AE5"/>
    <w:rsid w:val="484713ED"/>
    <w:rsid w:val="484A4A39"/>
    <w:rsid w:val="4851401A"/>
    <w:rsid w:val="48574431"/>
    <w:rsid w:val="48592221"/>
    <w:rsid w:val="48592ECE"/>
    <w:rsid w:val="485B5DC6"/>
    <w:rsid w:val="485E648B"/>
    <w:rsid w:val="48795A59"/>
    <w:rsid w:val="48895AF2"/>
    <w:rsid w:val="489B34E7"/>
    <w:rsid w:val="48A1226F"/>
    <w:rsid w:val="48A26623"/>
    <w:rsid w:val="48AE4FC8"/>
    <w:rsid w:val="48B459D5"/>
    <w:rsid w:val="48B84099"/>
    <w:rsid w:val="48B843DB"/>
    <w:rsid w:val="48B9571B"/>
    <w:rsid w:val="48C22822"/>
    <w:rsid w:val="48C52AC1"/>
    <w:rsid w:val="48C84646"/>
    <w:rsid w:val="48D2515B"/>
    <w:rsid w:val="48D569F9"/>
    <w:rsid w:val="48D6451F"/>
    <w:rsid w:val="48D83DF3"/>
    <w:rsid w:val="48E24C72"/>
    <w:rsid w:val="48E64762"/>
    <w:rsid w:val="48EE1869"/>
    <w:rsid w:val="48FC378F"/>
    <w:rsid w:val="48FF3A76"/>
    <w:rsid w:val="49056EE6"/>
    <w:rsid w:val="490966A2"/>
    <w:rsid w:val="490C7F41"/>
    <w:rsid w:val="491017DF"/>
    <w:rsid w:val="49116AAC"/>
    <w:rsid w:val="4913307D"/>
    <w:rsid w:val="492139EC"/>
    <w:rsid w:val="4921579A"/>
    <w:rsid w:val="49263E0F"/>
    <w:rsid w:val="4933371F"/>
    <w:rsid w:val="49425710"/>
    <w:rsid w:val="49523BA5"/>
    <w:rsid w:val="49524A49"/>
    <w:rsid w:val="49575660"/>
    <w:rsid w:val="495C6FEE"/>
    <w:rsid w:val="495D254A"/>
    <w:rsid w:val="496B49CF"/>
    <w:rsid w:val="496B53D3"/>
    <w:rsid w:val="497004D0"/>
    <w:rsid w:val="4972708D"/>
    <w:rsid w:val="49747FC0"/>
    <w:rsid w:val="499441BE"/>
    <w:rsid w:val="49997A26"/>
    <w:rsid w:val="499A0251"/>
    <w:rsid w:val="49BF4FB3"/>
    <w:rsid w:val="49BF511E"/>
    <w:rsid w:val="49D94948"/>
    <w:rsid w:val="49E4719C"/>
    <w:rsid w:val="49E52C6C"/>
    <w:rsid w:val="49E83610"/>
    <w:rsid w:val="49EF3AEA"/>
    <w:rsid w:val="49F20EE5"/>
    <w:rsid w:val="49F304A2"/>
    <w:rsid w:val="49F33738"/>
    <w:rsid w:val="49F80164"/>
    <w:rsid w:val="4A0A3D88"/>
    <w:rsid w:val="4A1470AD"/>
    <w:rsid w:val="4A161202"/>
    <w:rsid w:val="4A191F8E"/>
    <w:rsid w:val="4A205A52"/>
    <w:rsid w:val="4A275032"/>
    <w:rsid w:val="4A282B58"/>
    <w:rsid w:val="4A3A46D9"/>
    <w:rsid w:val="4A471230"/>
    <w:rsid w:val="4A4A0D21"/>
    <w:rsid w:val="4A521F7E"/>
    <w:rsid w:val="4A67370A"/>
    <w:rsid w:val="4A6C513B"/>
    <w:rsid w:val="4A727E45"/>
    <w:rsid w:val="4A731292"/>
    <w:rsid w:val="4A7A7858"/>
    <w:rsid w:val="4A875AD1"/>
    <w:rsid w:val="4A8C2538"/>
    <w:rsid w:val="4A995804"/>
    <w:rsid w:val="4A9F106C"/>
    <w:rsid w:val="4AA91EEB"/>
    <w:rsid w:val="4AAC3789"/>
    <w:rsid w:val="4AD52D0B"/>
    <w:rsid w:val="4AE747C1"/>
    <w:rsid w:val="4AEE1511"/>
    <w:rsid w:val="4B02784D"/>
    <w:rsid w:val="4B0B13AD"/>
    <w:rsid w:val="4B1E25CC"/>
    <w:rsid w:val="4B2477C4"/>
    <w:rsid w:val="4B313C8F"/>
    <w:rsid w:val="4B347E8E"/>
    <w:rsid w:val="4B3F63AB"/>
    <w:rsid w:val="4B445294"/>
    <w:rsid w:val="4B49722A"/>
    <w:rsid w:val="4B5B2430"/>
    <w:rsid w:val="4B5B4267"/>
    <w:rsid w:val="4B675475"/>
    <w:rsid w:val="4B6F525A"/>
    <w:rsid w:val="4B7B1056"/>
    <w:rsid w:val="4B840262"/>
    <w:rsid w:val="4B925782"/>
    <w:rsid w:val="4B9304A5"/>
    <w:rsid w:val="4B94302A"/>
    <w:rsid w:val="4B9B2398"/>
    <w:rsid w:val="4B9D60AE"/>
    <w:rsid w:val="4BA12BC2"/>
    <w:rsid w:val="4BA803F5"/>
    <w:rsid w:val="4BB24DCF"/>
    <w:rsid w:val="4BB46342"/>
    <w:rsid w:val="4BBA3C84"/>
    <w:rsid w:val="4BBA5B82"/>
    <w:rsid w:val="4BBF74EC"/>
    <w:rsid w:val="4BCA0092"/>
    <w:rsid w:val="4BD411EA"/>
    <w:rsid w:val="4BD95ABB"/>
    <w:rsid w:val="4BDB541F"/>
    <w:rsid w:val="4BDD6817"/>
    <w:rsid w:val="4BE67FB5"/>
    <w:rsid w:val="4BE8259F"/>
    <w:rsid w:val="4BEF0DEC"/>
    <w:rsid w:val="4BFB49C8"/>
    <w:rsid w:val="4BFC24EE"/>
    <w:rsid w:val="4C074AC8"/>
    <w:rsid w:val="4C095A4C"/>
    <w:rsid w:val="4C136C29"/>
    <w:rsid w:val="4C2904FF"/>
    <w:rsid w:val="4C2A0E0A"/>
    <w:rsid w:val="4C2A705C"/>
    <w:rsid w:val="4C3018E4"/>
    <w:rsid w:val="4C3129EE"/>
    <w:rsid w:val="4C324F11"/>
    <w:rsid w:val="4C417F01"/>
    <w:rsid w:val="4C45489B"/>
    <w:rsid w:val="4C471BF3"/>
    <w:rsid w:val="4C4C6CE1"/>
    <w:rsid w:val="4C4F261E"/>
    <w:rsid w:val="4C520360"/>
    <w:rsid w:val="4C5329C8"/>
    <w:rsid w:val="4C602A7D"/>
    <w:rsid w:val="4C6B3C12"/>
    <w:rsid w:val="4C7160BC"/>
    <w:rsid w:val="4C716796"/>
    <w:rsid w:val="4C752E49"/>
    <w:rsid w:val="4C755071"/>
    <w:rsid w:val="4C7A7005"/>
    <w:rsid w:val="4C8326E8"/>
    <w:rsid w:val="4C8E7EF7"/>
    <w:rsid w:val="4CA40C82"/>
    <w:rsid w:val="4CA706AC"/>
    <w:rsid w:val="4CBA03DF"/>
    <w:rsid w:val="4CBB7CB4"/>
    <w:rsid w:val="4CBE2078"/>
    <w:rsid w:val="4CC11B8A"/>
    <w:rsid w:val="4CD9638C"/>
    <w:rsid w:val="4CE76CFB"/>
    <w:rsid w:val="4CEC3D9A"/>
    <w:rsid w:val="4CF53C08"/>
    <w:rsid w:val="4CFF1498"/>
    <w:rsid w:val="4D001B6A"/>
    <w:rsid w:val="4D093EF5"/>
    <w:rsid w:val="4D13189E"/>
    <w:rsid w:val="4D13612B"/>
    <w:rsid w:val="4D186EB4"/>
    <w:rsid w:val="4D21431B"/>
    <w:rsid w:val="4D24284E"/>
    <w:rsid w:val="4D2C0BB1"/>
    <w:rsid w:val="4D2E0486"/>
    <w:rsid w:val="4D354F15"/>
    <w:rsid w:val="4D392466"/>
    <w:rsid w:val="4D414F5F"/>
    <w:rsid w:val="4D422183"/>
    <w:rsid w:val="4D4B262A"/>
    <w:rsid w:val="4D4B7289"/>
    <w:rsid w:val="4D502AF2"/>
    <w:rsid w:val="4D5521EB"/>
    <w:rsid w:val="4D5941DE"/>
    <w:rsid w:val="4D61455A"/>
    <w:rsid w:val="4D6233E4"/>
    <w:rsid w:val="4D67659F"/>
    <w:rsid w:val="4D697710"/>
    <w:rsid w:val="4D7F5185"/>
    <w:rsid w:val="4D812CAB"/>
    <w:rsid w:val="4D856769"/>
    <w:rsid w:val="4D9367C9"/>
    <w:rsid w:val="4D956757"/>
    <w:rsid w:val="4DAA5CDC"/>
    <w:rsid w:val="4DB27309"/>
    <w:rsid w:val="4DB34E2F"/>
    <w:rsid w:val="4DB43081"/>
    <w:rsid w:val="4DB45A88"/>
    <w:rsid w:val="4DB50BA7"/>
    <w:rsid w:val="4DC64B62"/>
    <w:rsid w:val="4DC9320F"/>
    <w:rsid w:val="4DCD5EF0"/>
    <w:rsid w:val="4DD3102D"/>
    <w:rsid w:val="4DD52FF7"/>
    <w:rsid w:val="4DDC0D9F"/>
    <w:rsid w:val="4DF07E31"/>
    <w:rsid w:val="4DF3347D"/>
    <w:rsid w:val="4E035DB6"/>
    <w:rsid w:val="4E0A1C73"/>
    <w:rsid w:val="4E0D2791"/>
    <w:rsid w:val="4E223196"/>
    <w:rsid w:val="4E3C3076"/>
    <w:rsid w:val="4E485577"/>
    <w:rsid w:val="4E5403C0"/>
    <w:rsid w:val="4E641489"/>
    <w:rsid w:val="4E65437B"/>
    <w:rsid w:val="4E6B2468"/>
    <w:rsid w:val="4E724CEA"/>
    <w:rsid w:val="4E75253D"/>
    <w:rsid w:val="4E7A1BC8"/>
    <w:rsid w:val="4E7E0D5F"/>
    <w:rsid w:val="4E8A5B90"/>
    <w:rsid w:val="4EA6117D"/>
    <w:rsid w:val="4EC857F9"/>
    <w:rsid w:val="4EC92B5C"/>
    <w:rsid w:val="4ECA6411"/>
    <w:rsid w:val="4ECE1A58"/>
    <w:rsid w:val="4ED53ED0"/>
    <w:rsid w:val="4EDE7C89"/>
    <w:rsid w:val="4EE2777A"/>
    <w:rsid w:val="4EE72FE2"/>
    <w:rsid w:val="4EEE7843"/>
    <w:rsid w:val="4F0049DD"/>
    <w:rsid w:val="4F0949E5"/>
    <w:rsid w:val="4F0C2A48"/>
    <w:rsid w:val="4F1B2C8C"/>
    <w:rsid w:val="4F450804"/>
    <w:rsid w:val="4F4B17C3"/>
    <w:rsid w:val="4F5217F0"/>
    <w:rsid w:val="4F5265C5"/>
    <w:rsid w:val="4F612C7D"/>
    <w:rsid w:val="4F693B74"/>
    <w:rsid w:val="4F6C0472"/>
    <w:rsid w:val="4F720C71"/>
    <w:rsid w:val="4F7A2BF8"/>
    <w:rsid w:val="4F7E2434"/>
    <w:rsid w:val="4F846A83"/>
    <w:rsid w:val="4F876573"/>
    <w:rsid w:val="4F8E16AF"/>
    <w:rsid w:val="4F923794"/>
    <w:rsid w:val="4F957B18"/>
    <w:rsid w:val="4F983DB1"/>
    <w:rsid w:val="4F9D72A8"/>
    <w:rsid w:val="4FA06AE2"/>
    <w:rsid w:val="4FA42C81"/>
    <w:rsid w:val="4FA90297"/>
    <w:rsid w:val="4FAD6F33"/>
    <w:rsid w:val="4FB05ACA"/>
    <w:rsid w:val="4FB077C0"/>
    <w:rsid w:val="4FB07878"/>
    <w:rsid w:val="4FB52E98"/>
    <w:rsid w:val="4FD8248A"/>
    <w:rsid w:val="4FDA0C90"/>
    <w:rsid w:val="4FDD65BB"/>
    <w:rsid w:val="4FDF015D"/>
    <w:rsid w:val="4FE830D3"/>
    <w:rsid w:val="4FEC3678"/>
    <w:rsid w:val="4FEE6AC9"/>
    <w:rsid w:val="4FEF076D"/>
    <w:rsid w:val="4FFF6109"/>
    <w:rsid w:val="50016325"/>
    <w:rsid w:val="5002014F"/>
    <w:rsid w:val="5003209D"/>
    <w:rsid w:val="500A39DE"/>
    <w:rsid w:val="501A2F43"/>
    <w:rsid w:val="501E0C85"/>
    <w:rsid w:val="502A0AA1"/>
    <w:rsid w:val="50306E07"/>
    <w:rsid w:val="50373AF5"/>
    <w:rsid w:val="50395ABF"/>
    <w:rsid w:val="503C0BD0"/>
    <w:rsid w:val="50454464"/>
    <w:rsid w:val="505C0548"/>
    <w:rsid w:val="50660874"/>
    <w:rsid w:val="506F7733"/>
    <w:rsid w:val="50746AF7"/>
    <w:rsid w:val="50774392"/>
    <w:rsid w:val="508D7BB9"/>
    <w:rsid w:val="509729C6"/>
    <w:rsid w:val="50983D57"/>
    <w:rsid w:val="50997DCA"/>
    <w:rsid w:val="50A07754"/>
    <w:rsid w:val="50B27620"/>
    <w:rsid w:val="50C050D6"/>
    <w:rsid w:val="50C21AA1"/>
    <w:rsid w:val="50D04244"/>
    <w:rsid w:val="50D85012"/>
    <w:rsid w:val="50DD75B9"/>
    <w:rsid w:val="50EA500B"/>
    <w:rsid w:val="50F25C6E"/>
    <w:rsid w:val="50F419E6"/>
    <w:rsid w:val="51051E45"/>
    <w:rsid w:val="510A120A"/>
    <w:rsid w:val="510C40FD"/>
    <w:rsid w:val="51136310"/>
    <w:rsid w:val="51186F6A"/>
    <w:rsid w:val="511E6A63"/>
    <w:rsid w:val="51277588"/>
    <w:rsid w:val="512C5309"/>
    <w:rsid w:val="51330760"/>
    <w:rsid w:val="5139564B"/>
    <w:rsid w:val="515B7CB7"/>
    <w:rsid w:val="51660D6C"/>
    <w:rsid w:val="51671591"/>
    <w:rsid w:val="516B1EB5"/>
    <w:rsid w:val="516D3625"/>
    <w:rsid w:val="51826FF2"/>
    <w:rsid w:val="519767B1"/>
    <w:rsid w:val="5199796C"/>
    <w:rsid w:val="519A07DF"/>
    <w:rsid w:val="519D5BDA"/>
    <w:rsid w:val="519E5331"/>
    <w:rsid w:val="51AB39AC"/>
    <w:rsid w:val="51AB479B"/>
    <w:rsid w:val="51BB208C"/>
    <w:rsid w:val="51C14502"/>
    <w:rsid w:val="51C94131"/>
    <w:rsid w:val="51CF7D67"/>
    <w:rsid w:val="51DE5B40"/>
    <w:rsid w:val="51DF4444"/>
    <w:rsid w:val="51E91A3B"/>
    <w:rsid w:val="51F31C9E"/>
    <w:rsid w:val="51F67A98"/>
    <w:rsid w:val="51FF0A2D"/>
    <w:rsid w:val="520812A5"/>
    <w:rsid w:val="521265C8"/>
    <w:rsid w:val="521B490D"/>
    <w:rsid w:val="521F2A93"/>
    <w:rsid w:val="522F77EA"/>
    <w:rsid w:val="52481FEA"/>
    <w:rsid w:val="52483D98"/>
    <w:rsid w:val="524F15CA"/>
    <w:rsid w:val="524F6612"/>
    <w:rsid w:val="52630BD1"/>
    <w:rsid w:val="52662470"/>
    <w:rsid w:val="52683DE6"/>
    <w:rsid w:val="526D31C8"/>
    <w:rsid w:val="527032EE"/>
    <w:rsid w:val="5270414C"/>
    <w:rsid w:val="527865FA"/>
    <w:rsid w:val="5283536B"/>
    <w:rsid w:val="528524D9"/>
    <w:rsid w:val="528943B0"/>
    <w:rsid w:val="52914E72"/>
    <w:rsid w:val="52A03BD4"/>
    <w:rsid w:val="52A531F1"/>
    <w:rsid w:val="52B02A83"/>
    <w:rsid w:val="52B05240"/>
    <w:rsid w:val="52B07B8F"/>
    <w:rsid w:val="52B7518F"/>
    <w:rsid w:val="52B94C95"/>
    <w:rsid w:val="52C90086"/>
    <w:rsid w:val="52CA6C47"/>
    <w:rsid w:val="52CB19D0"/>
    <w:rsid w:val="52CD24EF"/>
    <w:rsid w:val="52D23FA9"/>
    <w:rsid w:val="52D765EE"/>
    <w:rsid w:val="52E15F9A"/>
    <w:rsid w:val="52E53783"/>
    <w:rsid w:val="52EE281C"/>
    <w:rsid w:val="52F932E4"/>
    <w:rsid w:val="52FE4D9E"/>
    <w:rsid w:val="5304068C"/>
    <w:rsid w:val="53106504"/>
    <w:rsid w:val="53281E1B"/>
    <w:rsid w:val="5338184F"/>
    <w:rsid w:val="534157C5"/>
    <w:rsid w:val="53425978"/>
    <w:rsid w:val="535449BE"/>
    <w:rsid w:val="537A08C9"/>
    <w:rsid w:val="538A1445"/>
    <w:rsid w:val="538C64FB"/>
    <w:rsid w:val="538E7E63"/>
    <w:rsid w:val="538E7ED0"/>
    <w:rsid w:val="53970857"/>
    <w:rsid w:val="539719B0"/>
    <w:rsid w:val="53986FA1"/>
    <w:rsid w:val="539B25ED"/>
    <w:rsid w:val="539D6365"/>
    <w:rsid w:val="53A92F5C"/>
    <w:rsid w:val="53B11E10"/>
    <w:rsid w:val="53BB67EB"/>
    <w:rsid w:val="53BF452D"/>
    <w:rsid w:val="53CA5A97"/>
    <w:rsid w:val="53D159C4"/>
    <w:rsid w:val="53E10B2B"/>
    <w:rsid w:val="53E74BEE"/>
    <w:rsid w:val="53E775E0"/>
    <w:rsid w:val="53EC2E48"/>
    <w:rsid w:val="53F412E7"/>
    <w:rsid w:val="53FA2239"/>
    <w:rsid w:val="53FF492A"/>
    <w:rsid w:val="54027E11"/>
    <w:rsid w:val="54091C4C"/>
    <w:rsid w:val="5411465D"/>
    <w:rsid w:val="541505F1"/>
    <w:rsid w:val="541861A1"/>
    <w:rsid w:val="542F4307"/>
    <w:rsid w:val="543D41C9"/>
    <w:rsid w:val="543E1B5B"/>
    <w:rsid w:val="54476A75"/>
    <w:rsid w:val="544875D6"/>
    <w:rsid w:val="54490CE7"/>
    <w:rsid w:val="544F3B03"/>
    <w:rsid w:val="54534C76"/>
    <w:rsid w:val="54564E52"/>
    <w:rsid w:val="54591A6E"/>
    <w:rsid w:val="54593B32"/>
    <w:rsid w:val="545A3EFC"/>
    <w:rsid w:val="54644702"/>
    <w:rsid w:val="546C144D"/>
    <w:rsid w:val="546E385E"/>
    <w:rsid w:val="5474356A"/>
    <w:rsid w:val="54815C87"/>
    <w:rsid w:val="549B3E78"/>
    <w:rsid w:val="54AB2562"/>
    <w:rsid w:val="54AD619F"/>
    <w:rsid w:val="54C6456C"/>
    <w:rsid w:val="54C6761E"/>
    <w:rsid w:val="54C90AF2"/>
    <w:rsid w:val="54D77655"/>
    <w:rsid w:val="54DE4E87"/>
    <w:rsid w:val="54E3249D"/>
    <w:rsid w:val="54E91662"/>
    <w:rsid w:val="54ED50CA"/>
    <w:rsid w:val="54F319DA"/>
    <w:rsid w:val="54F46459"/>
    <w:rsid w:val="5503669C"/>
    <w:rsid w:val="55081F04"/>
    <w:rsid w:val="550C37A2"/>
    <w:rsid w:val="550F6DEF"/>
    <w:rsid w:val="55112F87"/>
    <w:rsid w:val="551D46AF"/>
    <w:rsid w:val="551E5284"/>
    <w:rsid w:val="552072B9"/>
    <w:rsid w:val="552E07CD"/>
    <w:rsid w:val="552F68E6"/>
    <w:rsid w:val="5532427B"/>
    <w:rsid w:val="55392631"/>
    <w:rsid w:val="554747DA"/>
    <w:rsid w:val="5563538C"/>
    <w:rsid w:val="55652EB2"/>
    <w:rsid w:val="556D17E3"/>
    <w:rsid w:val="5572737D"/>
    <w:rsid w:val="557A2884"/>
    <w:rsid w:val="557B26F1"/>
    <w:rsid w:val="55886BA1"/>
    <w:rsid w:val="558A0B6B"/>
    <w:rsid w:val="558E065B"/>
    <w:rsid w:val="55942D51"/>
    <w:rsid w:val="5594528C"/>
    <w:rsid w:val="559B4B26"/>
    <w:rsid w:val="559F5E06"/>
    <w:rsid w:val="55AC525A"/>
    <w:rsid w:val="55BB0D24"/>
    <w:rsid w:val="55C53951"/>
    <w:rsid w:val="55C93441"/>
    <w:rsid w:val="55DF0EB7"/>
    <w:rsid w:val="55E02539"/>
    <w:rsid w:val="55E2275A"/>
    <w:rsid w:val="55E4146D"/>
    <w:rsid w:val="55E738C7"/>
    <w:rsid w:val="55E95892"/>
    <w:rsid w:val="55F11B90"/>
    <w:rsid w:val="55F55198"/>
    <w:rsid w:val="56075D18"/>
    <w:rsid w:val="56097CE2"/>
    <w:rsid w:val="560A54EA"/>
    <w:rsid w:val="561641AD"/>
    <w:rsid w:val="56190CBE"/>
    <w:rsid w:val="561D553B"/>
    <w:rsid w:val="561D5E38"/>
    <w:rsid w:val="561F5B57"/>
    <w:rsid w:val="56256C9C"/>
    <w:rsid w:val="56260894"/>
    <w:rsid w:val="56291CEA"/>
    <w:rsid w:val="563805C7"/>
    <w:rsid w:val="56403E2C"/>
    <w:rsid w:val="564A61CE"/>
    <w:rsid w:val="56513437"/>
    <w:rsid w:val="56552F27"/>
    <w:rsid w:val="565A22EB"/>
    <w:rsid w:val="565C5611"/>
    <w:rsid w:val="5661367A"/>
    <w:rsid w:val="56633896"/>
    <w:rsid w:val="567672E3"/>
    <w:rsid w:val="567B5949"/>
    <w:rsid w:val="56812378"/>
    <w:rsid w:val="56813D1C"/>
    <w:rsid w:val="568806A4"/>
    <w:rsid w:val="568B06F7"/>
    <w:rsid w:val="569441F0"/>
    <w:rsid w:val="56A644DC"/>
    <w:rsid w:val="56B52A2A"/>
    <w:rsid w:val="56B57E6A"/>
    <w:rsid w:val="56BC6B02"/>
    <w:rsid w:val="56CF309B"/>
    <w:rsid w:val="56CF4250"/>
    <w:rsid w:val="56D55E16"/>
    <w:rsid w:val="56D9756F"/>
    <w:rsid w:val="56DB758F"/>
    <w:rsid w:val="56E542AB"/>
    <w:rsid w:val="56F444EE"/>
    <w:rsid w:val="57064221"/>
    <w:rsid w:val="571701DC"/>
    <w:rsid w:val="571E5A0F"/>
    <w:rsid w:val="57201787"/>
    <w:rsid w:val="57325016"/>
    <w:rsid w:val="573F1832"/>
    <w:rsid w:val="57497440"/>
    <w:rsid w:val="574F3E1A"/>
    <w:rsid w:val="576262F6"/>
    <w:rsid w:val="57643484"/>
    <w:rsid w:val="57651EC4"/>
    <w:rsid w:val="577621A7"/>
    <w:rsid w:val="577E08ED"/>
    <w:rsid w:val="5782630C"/>
    <w:rsid w:val="579B58EE"/>
    <w:rsid w:val="57A06424"/>
    <w:rsid w:val="57AE4543"/>
    <w:rsid w:val="57AE6C74"/>
    <w:rsid w:val="57B10631"/>
    <w:rsid w:val="57BA4B6F"/>
    <w:rsid w:val="57BE68AA"/>
    <w:rsid w:val="57CE57C8"/>
    <w:rsid w:val="57D35AB7"/>
    <w:rsid w:val="57D61E46"/>
    <w:rsid w:val="57EE53E1"/>
    <w:rsid w:val="58031411"/>
    <w:rsid w:val="5814587B"/>
    <w:rsid w:val="581A61D6"/>
    <w:rsid w:val="581C2119"/>
    <w:rsid w:val="58207565"/>
    <w:rsid w:val="58217A20"/>
    <w:rsid w:val="58226E39"/>
    <w:rsid w:val="58244C68"/>
    <w:rsid w:val="583A6878"/>
    <w:rsid w:val="583D3C73"/>
    <w:rsid w:val="585039A6"/>
    <w:rsid w:val="58556DFB"/>
    <w:rsid w:val="585A7A00"/>
    <w:rsid w:val="585F1909"/>
    <w:rsid w:val="586438F5"/>
    <w:rsid w:val="586456A3"/>
    <w:rsid w:val="586631C9"/>
    <w:rsid w:val="586B07E0"/>
    <w:rsid w:val="58711B6E"/>
    <w:rsid w:val="58735AAE"/>
    <w:rsid w:val="58811483"/>
    <w:rsid w:val="588238C4"/>
    <w:rsid w:val="58873140"/>
    <w:rsid w:val="588752C1"/>
    <w:rsid w:val="58914E20"/>
    <w:rsid w:val="589233DD"/>
    <w:rsid w:val="58925DB9"/>
    <w:rsid w:val="58AB1D89"/>
    <w:rsid w:val="58AD51F6"/>
    <w:rsid w:val="58B0040F"/>
    <w:rsid w:val="58B42698"/>
    <w:rsid w:val="58B53765"/>
    <w:rsid w:val="58C30E26"/>
    <w:rsid w:val="58D958D6"/>
    <w:rsid w:val="58DB6CD4"/>
    <w:rsid w:val="58E315E6"/>
    <w:rsid w:val="58E3481A"/>
    <w:rsid w:val="58E660B8"/>
    <w:rsid w:val="58FA6008"/>
    <w:rsid w:val="59030A18"/>
    <w:rsid w:val="591B0458"/>
    <w:rsid w:val="592B7E2D"/>
    <w:rsid w:val="592E180D"/>
    <w:rsid w:val="59386693"/>
    <w:rsid w:val="59437066"/>
    <w:rsid w:val="59461BF7"/>
    <w:rsid w:val="5954396A"/>
    <w:rsid w:val="595474C6"/>
    <w:rsid w:val="59576FB6"/>
    <w:rsid w:val="596A6CE9"/>
    <w:rsid w:val="59701E26"/>
    <w:rsid w:val="597933D0"/>
    <w:rsid w:val="597C685E"/>
    <w:rsid w:val="59914276"/>
    <w:rsid w:val="59A0270B"/>
    <w:rsid w:val="59A21779"/>
    <w:rsid w:val="59B368E2"/>
    <w:rsid w:val="59B47F65"/>
    <w:rsid w:val="59B55937"/>
    <w:rsid w:val="59B73341"/>
    <w:rsid w:val="59B94E3B"/>
    <w:rsid w:val="59C04B5B"/>
    <w:rsid w:val="59C06909"/>
    <w:rsid w:val="59CB141D"/>
    <w:rsid w:val="59D106B0"/>
    <w:rsid w:val="59D2663D"/>
    <w:rsid w:val="59D721FD"/>
    <w:rsid w:val="59EA1BD8"/>
    <w:rsid w:val="59EF71EF"/>
    <w:rsid w:val="59F2455A"/>
    <w:rsid w:val="59FB5B93"/>
    <w:rsid w:val="5A01135C"/>
    <w:rsid w:val="5A04713E"/>
    <w:rsid w:val="5A0471D8"/>
    <w:rsid w:val="5A0802B0"/>
    <w:rsid w:val="5A1B1E43"/>
    <w:rsid w:val="5A1B266E"/>
    <w:rsid w:val="5A20384C"/>
    <w:rsid w:val="5A2C0443"/>
    <w:rsid w:val="5A3A490E"/>
    <w:rsid w:val="5A435D01"/>
    <w:rsid w:val="5A4E03B9"/>
    <w:rsid w:val="5A56101C"/>
    <w:rsid w:val="5A581238"/>
    <w:rsid w:val="5A715E56"/>
    <w:rsid w:val="5A736072"/>
    <w:rsid w:val="5A8278C5"/>
    <w:rsid w:val="5A941811"/>
    <w:rsid w:val="5A981DD1"/>
    <w:rsid w:val="5AA224B3"/>
    <w:rsid w:val="5AA601F5"/>
    <w:rsid w:val="5AAC50E0"/>
    <w:rsid w:val="5ABD553F"/>
    <w:rsid w:val="5ABD72ED"/>
    <w:rsid w:val="5AD50114"/>
    <w:rsid w:val="5ADE4E11"/>
    <w:rsid w:val="5AE5517E"/>
    <w:rsid w:val="5AF34C26"/>
    <w:rsid w:val="5AF57ADA"/>
    <w:rsid w:val="5AF74CEF"/>
    <w:rsid w:val="5AFB13A2"/>
    <w:rsid w:val="5B017071"/>
    <w:rsid w:val="5B060C94"/>
    <w:rsid w:val="5B0F5D9A"/>
    <w:rsid w:val="5B136F0D"/>
    <w:rsid w:val="5B147D12"/>
    <w:rsid w:val="5B170809"/>
    <w:rsid w:val="5B1A64ED"/>
    <w:rsid w:val="5B3204AE"/>
    <w:rsid w:val="5B33135D"/>
    <w:rsid w:val="5B345801"/>
    <w:rsid w:val="5B351432"/>
    <w:rsid w:val="5B6D2AC1"/>
    <w:rsid w:val="5B760AFA"/>
    <w:rsid w:val="5B865931"/>
    <w:rsid w:val="5B8C1E41"/>
    <w:rsid w:val="5B8E09FD"/>
    <w:rsid w:val="5B9718EC"/>
    <w:rsid w:val="5B9C20DB"/>
    <w:rsid w:val="5BA31A66"/>
    <w:rsid w:val="5BD42B40"/>
    <w:rsid w:val="5BD57DF1"/>
    <w:rsid w:val="5BE15A6C"/>
    <w:rsid w:val="5BE30FD5"/>
    <w:rsid w:val="5BEF1728"/>
    <w:rsid w:val="5BEF40E4"/>
    <w:rsid w:val="5BF925A6"/>
    <w:rsid w:val="5BFD0E7B"/>
    <w:rsid w:val="5BFD3E45"/>
    <w:rsid w:val="5BFE763F"/>
    <w:rsid w:val="5C07200B"/>
    <w:rsid w:val="5C11169E"/>
    <w:rsid w:val="5C1271C4"/>
    <w:rsid w:val="5C186ED1"/>
    <w:rsid w:val="5C190553"/>
    <w:rsid w:val="5C1E200D"/>
    <w:rsid w:val="5C2515ED"/>
    <w:rsid w:val="5C2C472A"/>
    <w:rsid w:val="5C2F7D76"/>
    <w:rsid w:val="5C3929A3"/>
    <w:rsid w:val="5C5D0D87"/>
    <w:rsid w:val="5C60789B"/>
    <w:rsid w:val="5C6F4617"/>
    <w:rsid w:val="5C983C85"/>
    <w:rsid w:val="5CA22C3E"/>
    <w:rsid w:val="5CA73DB1"/>
    <w:rsid w:val="5CAA0F94"/>
    <w:rsid w:val="5CAD25CE"/>
    <w:rsid w:val="5CB00EB7"/>
    <w:rsid w:val="5CB52971"/>
    <w:rsid w:val="5CB87D6C"/>
    <w:rsid w:val="5CBA3AEB"/>
    <w:rsid w:val="5CC44962"/>
    <w:rsid w:val="5CCD5CD0"/>
    <w:rsid w:val="5CD765E0"/>
    <w:rsid w:val="5CD8040E"/>
    <w:rsid w:val="5CE366D6"/>
    <w:rsid w:val="5CE92DDF"/>
    <w:rsid w:val="5CEE5E83"/>
    <w:rsid w:val="5CF07506"/>
    <w:rsid w:val="5CF2105F"/>
    <w:rsid w:val="5CF22BA2"/>
    <w:rsid w:val="5CFA4828"/>
    <w:rsid w:val="5D0336DD"/>
    <w:rsid w:val="5D096AB0"/>
    <w:rsid w:val="5D0E5BDE"/>
    <w:rsid w:val="5D16339F"/>
    <w:rsid w:val="5D245401"/>
    <w:rsid w:val="5D247695"/>
    <w:rsid w:val="5D290F1B"/>
    <w:rsid w:val="5D373386"/>
    <w:rsid w:val="5D3A4C25"/>
    <w:rsid w:val="5D3F223B"/>
    <w:rsid w:val="5D4D6706"/>
    <w:rsid w:val="5D4E247E"/>
    <w:rsid w:val="5D4F4FA5"/>
    <w:rsid w:val="5D535CE6"/>
    <w:rsid w:val="5D5932D1"/>
    <w:rsid w:val="5D6121B1"/>
    <w:rsid w:val="5D6F2B20"/>
    <w:rsid w:val="5D6F3FC7"/>
    <w:rsid w:val="5D755C5D"/>
    <w:rsid w:val="5D7719D5"/>
    <w:rsid w:val="5D793BEB"/>
    <w:rsid w:val="5D795F6C"/>
    <w:rsid w:val="5DA32AD8"/>
    <w:rsid w:val="5DA86032"/>
    <w:rsid w:val="5DCD7847"/>
    <w:rsid w:val="5DCF7A63"/>
    <w:rsid w:val="5DD72D69"/>
    <w:rsid w:val="5DE03A1E"/>
    <w:rsid w:val="5DF5376A"/>
    <w:rsid w:val="5E086AD1"/>
    <w:rsid w:val="5E115985"/>
    <w:rsid w:val="5E134CE3"/>
    <w:rsid w:val="5E17190F"/>
    <w:rsid w:val="5E1C432A"/>
    <w:rsid w:val="5E20787C"/>
    <w:rsid w:val="5E49387F"/>
    <w:rsid w:val="5E514033"/>
    <w:rsid w:val="5E5C280A"/>
    <w:rsid w:val="5E5D5A8F"/>
    <w:rsid w:val="5E657ECB"/>
    <w:rsid w:val="5E6D3AF7"/>
    <w:rsid w:val="5E7128C8"/>
    <w:rsid w:val="5E736640"/>
    <w:rsid w:val="5E77003B"/>
    <w:rsid w:val="5E79177D"/>
    <w:rsid w:val="5E805317"/>
    <w:rsid w:val="5E897C12"/>
    <w:rsid w:val="5E8B5FE7"/>
    <w:rsid w:val="5E8D018A"/>
    <w:rsid w:val="5E912CB0"/>
    <w:rsid w:val="5E9B1744"/>
    <w:rsid w:val="5E9C4507"/>
    <w:rsid w:val="5E9D36BD"/>
    <w:rsid w:val="5E9D52DF"/>
    <w:rsid w:val="5EAC1B52"/>
    <w:rsid w:val="5EB016E9"/>
    <w:rsid w:val="5EB10F16"/>
    <w:rsid w:val="5EB153BA"/>
    <w:rsid w:val="5EB22333"/>
    <w:rsid w:val="5EBD3D5F"/>
    <w:rsid w:val="5EC155FD"/>
    <w:rsid w:val="5ECC3D6F"/>
    <w:rsid w:val="5ED5716B"/>
    <w:rsid w:val="5ED66BCF"/>
    <w:rsid w:val="5ED73B27"/>
    <w:rsid w:val="5EEA5545"/>
    <w:rsid w:val="5EF43ECE"/>
    <w:rsid w:val="5EF534F9"/>
    <w:rsid w:val="5F090D52"/>
    <w:rsid w:val="5F0A7D9F"/>
    <w:rsid w:val="5F0E0117"/>
    <w:rsid w:val="5F117C07"/>
    <w:rsid w:val="5F21609C"/>
    <w:rsid w:val="5F261904"/>
    <w:rsid w:val="5F2B2A77"/>
    <w:rsid w:val="5F3005FC"/>
    <w:rsid w:val="5F341B4E"/>
    <w:rsid w:val="5F3D5189"/>
    <w:rsid w:val="5F4C0C3F"/>
    <w:rsid w:val="5F566787"/>
    <w:rsid w:val="5F592DFB"/>
    <w:rsid w:val="5F737356"/>
    <w:rsid w:val="5F754760"/>
    <w:rsid w:val="5F792E44"/>
    <w:rsid w:val="5F8F54D4"/>
    <w:rsid w:val="5F97010C"/>
    <w:rsid w:val="5F993E84"/>
    <w:rsid w:val="5FAB005C"/>
    <w:rsid w:val="5FB50977"/>
    <w:rsid w:val="5FB567E4"/>
    <w:rsid w:val="5FBD2B20"/>
    <w:rsid w:val="5FBE20A7"/>
    <w:rsid w:val="5FC30F01"/>
    <w:rsid w:val="5FC57B17"/>
    <w:rsid w:val="5FD4310E"/>
    <w:rsid w:val="5FD731C9"/>
    <w:rsid w:val="5FDD1D1D"/>
    <w:rsid w:val="5FE5356E"/>
    <w:rsid w:val="5FEF7F48"/>
    <w:rsid w:val="5FF35173"/>
    <w:rsid w:val="5FF612D7"/>
    <w:rsid w:val="600339F4"/>
    <w:rsid w:val="600F2399"/>
    <w:rsid w:val="60142F5E"/>
    <w:rsid w:val="601654D5"/>
    <w:rsid w:val="60183527"/>
    <w:rsid w:val="60234096"/>
    <w:rsid w:val="60285208"/>
    <w:rsid w:val="602D6CC3"/>
    <w:rsid w:val="60422C59"/>
    <w:rsid w:val="604D2EC1"/>
    <w:rsid w:val="60596C3B"/>
    <w:rsid w:val="606126F4"/>
    <w:rsid w:val="606A0C46"/>
    <w:rsid w:val="606F2E37"/>
    <w:rsid w:val="608060E1"/>
    <w:rsid w:val="60975D06"/>
    <w:rsid w:val="609A327C"/>
    <w:rsid w:val="609E54CA"/>
    <w:rsid w:val="60A41563"/>
    <w:rsid w:val="60BA67A8"/>
    <w:rsid w:val="60C05441"/>
    <w:rsid w:val="60C15AB3"/>
    <w:rsid w:val="60C6495C"/>
    <w:rsid w:val="60D06A05"/>
    <w:rsid w:val="60DF7924"/>
    <w:rsid w:val="60E05AE3"/>
    <w:rsid w:val="60E92BEA"/>
    <w:rsid w:val="60F90953"/>
    <w:rsid w:val="60FD6695"/>
    <w:rsid w:val="60FF41BB"/>
    <w:rsid w:val="610A13CD"/>
    <w:rsid w:val="610B629E"/>
    <w:rsid w:val="61137C66"/>
    <w:rsid w:val="61295464"/>
    <w:rsid w:val="612D3C7B"/>
    <w:rsid w:val="612F4F80"/>
    <w:rsid w:val="613019E1"/>
    <w:rsid w:val="61324DCD"/>
    <w:rsid w:val="613D2F35"/>
    <w:rsid w:val="61443C20"/>
    <w:rsid w:val="6155027F"/>
    <w:rsid w:val="618E3791"/>
    <w:rsid w:val="61946EA3"/>
    <w:rsid w:val="61A34F3F"/>
    <w:rsid w:val="61A62889"/>
    <w:rsid w:val="61A92429"/>
    <w:rsid w:val="61B35D0C"/>
    <w:rsid w:val="61BE4076"/>
    <w:rsid w:val="61CD250B"/>
    <w:rsid w:val="61D85C11"/>
    <w:rsid w:val="61E93758"/>
    <w:rsid w:val="61F71336"/>
    <w:rsid w:val="61FA594E"/>
    <w:rsid w:val="61FD6B53"/>
    <w:rsid w:val="6200468F"/>
    <w:rsid w:val="62035F2D"/>
    <w:rsid w:val="62074C63"/>
    <w:rsid w:val="62122FF4"/>
    <w:rsid w:val="62210161"/>
    <w:rsid w:val="62257C51"/>
    <w:rsid w:val="622F6E70"/>
    <w:rsid w:val="62320FF2"/>
    <w:rsid w:val="623526DC"/>
    <w:rsid w:val="623738CC"/>
    <w:rsid w:val="6239194F"/>
    <w:rsid w:val="624B09C7"/>
    <w:rsid w:val="624F1172"/>
    <w:rsid w:val="625422E5"/>
    <w:rsid w:val="626A4FFB"/>
    <w:rsid w:val="626A5FAC"/>
    <w:rsid w:val="62711AB7"/>
    <w:rsid w:val="62766621"/>
    <w:rsid w:val="62776EE9"/>
    <w:rsid w:val="62826B2B"/>
    <w:rsid w:val="628C5357"/>
    <w:rsid w:val="628D57F7"/>
    <w:rsid w:val="62A74B0A"/>
    <w:rsid w:val="62A74F04"/>
    <w:rsid w:val="62AA45FB"/>
    <w:rsid w:val="62AB1EEE"/>
    <w:rsid w:val="62BB5117"/>
    <w:rsid w:val="62C04816"/>
    <w:rsid w:val="62C27B96"/>
    <w:rsid w:val="62CE02E9"/>
    <w:rsid w:val="62D1362E"/>
    <w:rsid w:val="62DB7EC3"/>
    <w:rsid w:val="62E3413D"/>
    <w:rsid w:val="62E634EE"/>
    <w:rsid w:val="62E67091"/>
    <w:rsid w:val="62E917AD"/>
    <w:rsid w:val="62E93375"/>
    <w:rsid w:val="62EC076F"/>
    <w:rsid w:val="62F64AF5"/>
    <w:rsid w:val="63084806"/>
    <w:rsid w:val="63091321"/>
    <w:rsid w:val="63201EAD"/>
    <w:rsid w:val="63212B0F"/>
    <w:rsid w:val="63306E60"/>
    <w:rsid w:val="633640E0"/>
    <w:rsid w:val="633D0FCB"/>
    <w:rsid w:val="633F197E"/>
    <w:rsid w:val="63462575"/>
    <w:rsid w:val="63531AEF"/>
    <w:rsid w:val="635D341B"/>
    <w:rsid w:val="637013A0"/>
    <w:rsid w:val="63724F9B"/>
    <w:rsid w:val="63747D34"/>
    <w:rsid w:val="63862972"/>
    <w:rsid w:val="63911317"/>
    <w:rsid w:val="639F7719"/>
    <w:rsid w:val="63B219B9"/>
    <w:rsid w:val="63B32D87"/>
    <w:rsid w:val="63BA458E"/>
    <w:rsid w:val="63BC6393"/>
    <w:rsid w:val="63C11BFC"/>
    <w:rsid w:val="63C863FE"/>
    <w:rsid w:val="63CB2A7A"/>
    <w:rsid w:val="63CD263F"/>
    <w:rsid w:val="63D27752"/>
    <w:rsid w:val="63DC07E4"/>
    <w:rsid w:val="63DD455C"/>
    <w:rsid w:val="63EB49E7"/>
    <w:rsid w:val="63F7410E"/>
    <w:rsid w:val="63F7561D"/>
    <w:rsid w:val="63F83144"/>
    <w:rsid w:val="63F975E8"/>
    <w:rsid w:val="63FD08D3"/>
    <w:rsid w:val="64032214"/>
    <w:rsid w:val="640F0BB9"/>
    <w:rsid w:val="641E704E"/>
    <w:rsid w:val="64243F39"/>
    <w:rsid w:val="64293836"/>
    <w:rsid w:val="643E149E"/>
    <w:rsid w:val="64437A27"/>
    <w:rsid w:val="64465512"/>
    <w:rsid w:val="64473D74"/>
    <w:rsid w:val="644B5969"/>
    <w:rsid w:val="644D7A39"/>
    <w:rsid w:val="6476137B"/>
    <w:rsid w:val="64790728"/>
    <w:rsid w:val="647E5010"/>
    <w:rsid w:val="64830FFF"/>
    <w:rsid w:val="6484649B"/>
    <w:rsid w:val="64852C29"/>
    <w:rsid w:val="6488096B"/>
    <w:rsid w:val="6492430D"/>
    <w:rsid w:val="64972FC1"/>
    <w:rsid w:val="649B069F"/>
    <w:rsid w:val="64A84B6A"/>
    <w:rsid w:val="64A95CBE"/>
    <w:rsid w:val="64B82FFF"/>
    <w:rsid w:val="64C3025B"/>
    <w:rsid w:val="64C574CA"/>
    <w:rsid w:val="64CD1E40"/>
    <w:rsid w:val="64D81F6E"/>
    <w:rsid w:val="64E536C8"/>
    <w:rsid w:val="65054EC8"/>
    <w:rsid w:val="6511270F"/>
    <w:rsid w:val="651313E3"/>
    <w:rsid w:val="65143FAD"/>
    <w:rsid w:val="651D7306"/>
    <w:rsid w:val="65234F48"/>
    <w:rsid w:val="652470FF"/>
    <w:rsid w:val="653A4CFB"/>
    <w:rsid w:val="65631657"/>
    <w:rsid w:val="656D6D2A"/>
    <w:rsid w:val="656E5DB3"/>
    <w:rsid w:val="656F7435"/>
    <w:rsid w:val="65742306"/>
    <w:rsid w:val="65744A4C"/>
    <w:rsid w:val="657901C7"/>
    <w:rsid w:val="657B2174"/>
    <w:rsid w:val="657D5B44"/>
    <w:rsid w:val="65864EAB"/>
    <w:rsid w:val="65937B53"/>
    <w:rsid w:val="65953340"/>
    <w:rsid w:val="659547A6"/>
    <w:rsid w:val="659B647C"/>
    <w:rsid w:val="659F2226"/>
    <w:rsid w:val="65A00FA4"/>
    <w:rsid w:val="65A45331"/>
    <w:rsid w:val="65A672FB"/>
    <w:rsid w:val="65B732B6"/>
    <w:rsid w:val="65BA4B55"/>
    <w:rsid w:val="65BD63F3"/>
    <w:rsid w:val="65C37F02"/>
    <w:rsid w:val="65C51589"/>
    <w:rsid w:val="65C65A43"/>
    <w:rsid w:val="65C85DA2"/>
    <w:rsid w:val="65C91E0B"/>
    <w:rsid w:val="65C921F7"/>
    <w:rsid w:val="65CC2902"/>
    <w:rsid w:val="65D57BE0"/>
    <w:rsid w:val="65E315D4"/>
    <w:rsid w:val="65E322FD"/>
    <w:rsid w:val="65E6168B"/>
    <w:rsid w:val="65E73470"/>
    <w:rsid w:val="65E9368C"/>
    <w:rsid w:val="65E9543A"/>
    <w:rsid w:val="65EA7DC1"/>
    <w:rsid w:val="65EE47FE"/>
    <w:rsid w:val="65EF0F97"/>
    <w:rsid w:val="65F71905"/>
    <w:rsid w:val="66081D64"/>
    <w:rsid w:val="661324B7"/>
    <w:rsid w:val="66140709"/>
    <w:rsid w:val="66175851"/>
    <w:rsid w:val="66215E2C"/>
    <w:rsid w:val="663743F7"/>
    <w:rsid w:val="66546D57"/>
    <w:rsid w:val="665723A3"/>
    <w:rsid w:val="666A7E34"/>
    <w:rsid w:val="666C0257"/>
    <w:rsid w:val="666F0674"/>
    <w:rsid w:val="66723681"/>
    <w:rsid w:val="66772A46"/>
    <w:rsid w:val="667B3E2D"/>
    <w:rsid w:val="6684788D"/>
    <w:rsid w:val="66903709"/>
    <w:rsid w:val="6692162D"/>
    <w:rsid w:val="6692581D"/>
    <w:rsid w:val="669B679D"/>
    <w:rsid w:val="66AC0145"/>
    <w:rsid w:val="66AF21DF"/>
    <w:rsid w:val="66B4332E"/>
    <w:rsid w:val="66B470C2"/>
    <w:rsid w:val="66BB6DD6"/>
    <w:rsid w:val="66C11F13"/>
    <w:rsid w:val="66C7577B"/>
    <w:rsid w:val="66D02156"/>
    <w:rsid w:val="66DC6D4D"/>
    <w:rsid w:val="66DE4873"/>
    <w:rsid w:val="66E947FF"/>
    <w:rsid w:val="66EA76BB"/>
    <w:rsid w:val="66ED4AB6"/>
    <w:rsid w:val="66EF20F5"/>
    <w:rsid w:val="66F127F8"/>
    <w:rsid w:val="66FB3D38"/>
    <w:rsid w:val="66FE6CC3"/>
    <w:rsid w:val="670165B7"/>
    <w:rsid w:val="6703088E"/>
    <w:rsid w:val="670657E2"/>
    <w:rsid w:val="670D5467"/>
    <w:rsid w:val="671003A2"/>
    <w:rsid w:val="671E3289"/>
    <w:rsid w:val="67292CCC"/>
    <w:rsid w:val="67583A7F"/>
    <w:rsid w:val="6758659D"/>
    <w:rsid w:val="6760172C"/>
    <w:rsid w:val="6760797E"/>
    <w:rsid w:val="677A0A3F"/>
    <w:rsid w:val="678216A2"/>
    <w:rsid w:val="67852F40"/>
    <w:rsid w:val="67881D7C"/>
    <w:rsid w:val="67895624"/>
    <w:rsid w:val="679B2764"/>
    <w:rsid w:val="67B80E5B"/>
    <w:rsid w:val="67B81568"/>
    <w:rsid w:val="67B960AB"/>
    <w:rsid w:val="67C21F75"/>
    <w:rsid w:val="67C43A69"/>
    <w:rsid w:val="67D143D7"/>
    <w:rsid w:val="67D469E8"/>
    <w:rsid w:val="67D85766"/>
    <w:rsid w:val="67EA3883"/>
    <w:rsid w:val="67ED384C"/>
    <w:rsid w:val="67F7461E"/>
    <w:rsid w:val="67F87BB6"/>
    <w:rsid w:val="67FD6F7B"/>
    <w:rsid w:val="68295FC1"/>
    <w:rsid w:val="682E35D8"/>
    <w:rsid w:val="683B4645"/>
    <w:rsid w:val="683C7487"/>
    <w:rsid w:val="684921C0"/>
    <w:rsid w:val="684A6664"/>
    <w:rsid w:val="68586BD8"/>
    <w:rsid w:val="6870599E"/>
    <w:rsid w:val="687E0F07"/>
    <w:rsid w:val="689478DF"/>
    <w:rsid w:val="6897117D"/>
    <w:rsid w:val="689A2A1B"/>
    <w:rsid w:val="689C2C37"/>
    <w:rsid w:val="68B25431"/>
    <w:rsid w:val="68B51829"/>
    <w:rsid w:val="68B735CD"/>
    <w:rsid w:val="68E936B6"/>
    <w:rsid w:val="68E974E2"/>
    <w:rsid w:val="68F22857"/>
    <w:rsid w:val="68FB795E"/>
    <w:rsid w:val="690C5607"/>
    <w:rsid w:val="69180510"/>
    <w:rsid w:val="691F7904"/>
    <w:rsid w:val="692C1E95"/>
    <w:rsid w:val="69362744"/>
    <w:rsid w:val="69377544"/>
    <w:rsid w:val="693B6934"/>
    <w:rsid w:val="6944683F"/>
    <w:rsid w:val="69492CA3"/>
    <w:rsid w:val="694C640B"/>
    <w:rsid w:val="694F5ED5"/>
    <w:rsid w:val="695B664F"/>
    <w:rsid w:val="695D51EA"/>
    <w:rsid w:val="69694880"/>
    <w:rsid w:val="696E6789"/>
    <w:rsid w:val="696F20FA"/>
    <w:rsid w:val="696F3EA8"/>
    <w:rsid w:val="69727B77"/>
    <w:rsid w:val="697D4817"/>
    <w:rsid w:val="69813DF7"/>
    <w:rsid w:val="698536CB"/>
    <w:rsid w:val="6988342A"/>
    <w:rsid w:val="69894F6A"/>
    <w:rsid w:val="69A43B52"/>
    <w:rsid w:val="69B144C0"/>
    <w:rsid w:val="69B22FF4"/>
    <w:rsid w:val="69BD2E65"/>
    <w:rsid w:val="69C161E3"/>
    <w:rsid w:val="69CB5582"/>
    <w:rsid w:val="69D1246D"/>
    <w:rsid w:val="69DA3A17"/>
    <w:rsid w:val="69DA7573"/>
    <w:rsid w:val="69DB153D"/>
    <w:rsid w:val="69DF102E"/>
    <w:rsid w:val="69F256DE"/>
    <w:rsid w:val="6A050368"/>
    <w:rsid w:val="6A094CB7"/>
    <w:rsid w:val="6A0E546F"/>
    <w:rsid w:val="6A1400F1"/>
    <w:rsid w:val="6A1D0A5D"/>
    <w:rsid w:val="6A1D1DA5"/>
    <w:rsid w:val="6A1F767C"/>
    <w:rsid w:val="6A3627A9"/>
    <w:rsid w:val="6A3A44B6"/>
    <w:rsid w:val="6A3E5E7B"/>
    <w:rsid w:val="6A425119"/>
    <w:rsid w:val="6A4401FD"/>
    <w:rsid w:val="6A580C53"/>
    <w:rsid w:val="6A5C267E"/>
    <w:rsid w:val="6A670DC8"/>
    <w:rsid w:val="6A674B7F"/>
    <w:rsid w:val="6A680BA0"/>
    <w:rsid w:val="6A6B466F"/>
    <w:rsid w:val="6A707ED8"/>
    <w:rsid w:val="6A947410"/>
    <w:rsid w:val="6A9C7BD0"/>
    <w:rsid w:val="6AB45112"/>
    <w:rsid w:val="6AB73764"/>
    <w:rsid w:val="6ABD40C4"/>
    <w:rsid w:val="6AC74F0B"/>
    <w:rsid w:val="6AD73F92"/>
    <w:rsid w:val="6AD77F57"/>
    <w:rsid w:val="6AE07757"/>
    <w:rsid w:val="6AEF3DEC"/>
    <w:rsid w:val="6AFC6DF1"/>
    <w:rsid w:val="6AFE3923"/>
    <w:rsid w:val="6B032AFA"/>
    <w:rsid w:val="6B106FC5"/>
    <w:rsid w:val="6B127FAA"/>
    <w:rsid w:val="6B161723"/>
    <w:rsid w:val="6B1D267A"/>
    <w:rsid w:val="6B262DC3"/>
    <w:rsid w:val="6B2A452A"/>
    <w:rsid w:val="6B362ECF"/>
    <w:rsid w:val="6B3E78FE"/>
    <w:rsid w:val="6B4E646B"/>
    <w:rsid w:val="6B5C05A3"/>
    <w:rsid w:val="6B604DCA"/>
    <w:rsid w:val="6B670AC3"/>
    <w:rsid w:val="6B7054E1"/>
    <w:rsid w:val="6B7D64E9"/>
    <w:rsid w:val="6B833C3B"/>
    <w:rsid w:val="6B851761"/>
    <w:rsid w:val="6B8579B3"/>
    <w:rsid w:val="6B8A4FC9"/>
    <w:rsid w:val="6B8C0D41"/>
    <w:rsid w:val="6B954234"/>
    <w:rsid w:val="6BAA0254"/>
    <w:rsid w:val="6BC85C21"/>
    <w:rsid w:val="6BCA3618"/>
    <w:rsid w:val="6BCE0CC9"/>
    <w:rsid w:val="6BD12BF8"/>
    <w:rsid w:val="6BD34BC2"/>
    <w:rsid w:val="6BD9385B"/>
    <w:rsid w:val="6BE26BB3"/>
    <w:rsid w:val="6BE50B6F"/>
    <w:rsid w:val="6BE60474"/>
    <w:rsid w:val="6BF07522"/>
    <w:rsid w:val="6BF40694"/>
    <w:rsid w:val="6C0B15D1"/>
    <w:rsid w:val="6C10404B"/>
    <w:rsid w:val="6C1B79C0"/>
    <w:rsid w:val="6C1F1BB5"/>
    <w:rsid w:val="6C234D4B"/>
    <w:rsid w:val="6C2E2185"/>
    <w:rsid w:val="6C335661"/>
    <w:rsid w:val="6C33740F"/>
    <w:rsid w:val="6C3F65A7"/>
    <w:rsid w:val="6C50276A"/>
    <w:rsid w:val="6C507CE6"/>
    <w:rsid w:val="6C5166B0"/>
    <w:rsid w:val="6C5E57D7"/>
    <w:rsid w:val="6C6E0447"/>
    <w:rsid w:val="6C731F01"/>
    <w:rsid w:val="6CB20D97"/>
    <w:rsid w:val="6CB30AE5"/>
    <w:rsid w:val="6CBC11B2"/>
    <w:rsid w:val="6CC83FFB"/>
    <w:rsid w:val="6CCC5022"/>
    <w:rsid w:val="6CCC5A21"/>
    <w:rsid w:val="6CD44193"/>
    <w:rsid w:val="6CD732EB"/>
    <w:rsid w:val="6CD75FEC"/>
    <w:rsid w:val="6CEC129F"/>
    <w:rsid w:val="6CF070AE"/>
    <w:rsid w:val="6CFE7A1D"/>
    <w:rsid w:val="6D044288"/>
    <w:rsid w:val="6D0D7C60"/>
    <w:rsid w:val="6D107750"/>
    <w:rsid w:val="6D12171A"/>
    <w:rsid w:val="6D1D6271"/>
    <w:rsid w:val="6D1E534C"/>
    <w:rsid w:val="6D3F3B91"/>
    <w:rsid w:val="6D48599A"/>
    <w:rsid w:val="6D521B17"/>
    <w:rsid w:val="6D543AE1"/>
    <w:rsid w:val="6D574D4C"/>
    <w:rsid w:val="6D594C53"/>
    <w:rsid w:val="6D5B6C1D"/>
    <w:rsid w:val="6D68758C"/>
    <w:rsid w:val="6D6F26C8"/>
    <w:rsid w:val="6D7371A4"/>
    <w:rsid w:val="6D737A4C"/>
    <w:rsid w:val="6D774505"/>
    <w:rsid w:val="6D7B323E"/>
    <w:rsid w:val="6D806684"/>
    <w:rsid w:val="6D9C0FE4"/>
    <w:rsid w:val="6DAD4F9F"/>
    <w:rsid w:val="6DB30687"/>
    <w:rsid w:val="6DB427D1"/>
    <w:rsid w:val="6DBE04FB"/>
    <w:rsid w:val="6DDE33AA"/>
    <w:rsid w:val="6DE210EC"/>
    <w:rsid w:val="6DE8785D"/>
    <w:rsid w:val="6DED13D3"/>
    <w:rsid w:val="6DEE05C8"/>
    <w:rsid w:val="6DEF4379"/>
    <w:rsid w:val="6DF02040"/>
    <w:rsid w:val="6DF1132F"/>
    <w:rsid w:val="6DF12024"/>
    <w:rsid w:val="6DF42BCE"/>
    <w:rsid w:val="6DF525E1"/>
    <w:rsid w:val="6DF81642"/>
    <w:rsid w:val="6E0A6B18"/>
    <w:rsid w:val="6E13574A"/>
    <w:rsid w:val="6E1E7D72"/>
    <w:rsid w:val="6E1F7C4B"/>
    <w:rsid w:val="6E257D3E"/>
    <w:rsid w:val="6E276AFF"/>
    <w:rsid w:val="6E3766E2"/>
    <w:rsid w:val="6E3A17C1"/>
    <w:rsid w:val="6E421B8B"/>
    <w:rsid w:val="6E577B21"/>
    <w:rsid w:val="6E596897"/>
    <w:rsid w:val="6E5F6F8E"/>
    <w:rsid w:val="6E6016C5"/>
    <w:rsid w:val="6E602011"/>
    <w:rsid w:val="6E675BA9"/>
    <w:rsid w:val="6E6B10E2"/>
    <w:rsid w:val="6E6B2E90"/>
    <w:rsid w:val="6E8421A4"/>
    <w:rsid w:val="6E970129"/>
    <w:rsid w:val="6EAE7221"/>
    <w:rsid w:val="6EBB48BF"/>
    <w:rsid w:val="6EC00B13"/>
    <w:rsid w:val="6EC12DC3"/>
    <w:rsid w:val="6EC66318"/>
    <w:rsid w:val="6ECA4F02"/>
    <w:rsid w:val="6ECD414C"/>
    <w:rsid w:val="6ED177DA"/>
    <w:rsid w:val="6EF602AB"/>
    <w:rsid w:val="6EF966EE"/>
    <w:rsid w:val="6F060E0B"/>
    <w:rsid w:val="6F072530"/>
    <w:rsid w:val="6F0B413C"/>
    <w:rsid w:val="6F0B6421"/>
    <w:rsid w:val="6F0F5F11"/>
    <w:rsid w:val="6F10791B"/>
    <w:rsid w:val="6F1277AF"/>
    <w:rsid w:val="6F141887"/>
    <w:rsid w:val="6F1572A0"/>
    <w:rsid w:val="6F167DEA"/>
    <w:rsid w:val="6F190B3E"/>
    <w:rsid w:val="6F1A5DA5"/>
    <w:rsid w:val="6F1A6664"/>
    <w:rsid w:val="6F1E78D9"/>
    <w:rsid w:val="6F265009"/>
    <w:rsid w:val="6F2F210F"/>
    <w:rsid w:val="6F2F65B3"/>
    <w:rsid w:val="6F395F05"/>
    <w:rsid w:val="6F3B6D06"/>
    <w:rsid w:val="6F413BF1"/>
    <w:rsid w:val="6F4638D3"/>
    <w:rsid w:val="6F4B2CC1"/>
    <w:rsid w:val="6F6618A9"/>
    <w:rsid w:val="6F6D4990"/>
    <w:rsid w:val="6F712728"/>
    <w:rsid w:val="6F904395"/>
    <w:rsid w:val="6F92269E"/>
    <w:rsid w:val="6F9B2726"/>
    <w:rsid w:val="6FC26D8C"/>
    <w:rsid w:val="6FCC229A"/>
    <w:rsid w:val="6FD247F0"/>
    <w:rsid w:val="6FE74DA4"/>
    <w:rsid w:val="6FEA23F1"/>
    <w:rsid w:val="6FF70753"/>
    <w:rsid w:val="7003534A"/>
    <w:rsid w:val="70080CDD"/>
    <w:rsid w:val="7010581B"/>
    <w:rsid w:val="70135831"/>
    <w:rsid w:val="70157E72"/>
    <w:rsid w:val="70352611"/>
    <w:rsid w:val="70352925"/>
    <w:rsid w:val="70401392"/>
    <w:rsid w:val="70404DCF"/>
    <w:rsid w:val="704D6562"/>
    <w:rsid w:val="70585696"/>
    <w:rsid w:val="70603CC3"/>
    <w:rsid w:val="706263E3"/>
    <w:rsid w:val="7063344A"/>
    <w:rsid w:val="706D66FA"/>
    <w:rsid w:val="706E3A3B"/>
    <w:rsid w:val="7073020B"/>
    <w:rsid w:val="7073427E"/>
    <w:rsid w:val="707C10FD"/>
    <w:rsid w:val="707C5B2E"/>
    <w:rsid w:val="707C7B01"/>
    <w:rsid w:val="707D50FC"/>
    <w:rsid w:val="70871AD7"/>
    <w:rsid w:val="70877ECE"/>
    <w:rsid w:val="70977146"/>
    <w:rsid w:val="709C1A26"/>
    <w:rsid w:val="70AB1275"/>
    <w:rsid w:val="70AD6F89"/>
    <w:rsid w:val="70B82EFE"/>
    <w:rsid w:val="70C930F5"/>
    <w:rsid w:val="70CA344A"/>
    <w:rsid w:val="70CB40BA"/>
    <w:rsid w:val="70CB5E68"/>
    <w:rsid w:val="70D329E3"/>
    <w:rsid w:val="70D80585"/>
    <w:rsid w:val="70EC7925"/>
    <w:rsid w:val="70F03467"/>
    <w:rsid w:val="70F130AA"/>
    <w:rsid w:val="70F96564"/>
    <w:rsid w:val="70FA04FB"/>
    <w:rsid w:val="71015D2D"/>
    <w:rsid w:val="710D7F17"/>
    <w:rsid w:val="710E2334"/>
    <w:rsid w:val="711175C8"/>
    <w:rsid w:val="711F61B4"/>
    <w:rsid w:val="7124002F"/>
    <w:rsid w:val="713C4FB8"/>
    <w:rsid w:val="713F23B2"/>
    <w:rsid w:val="71416821"/>
    <w:rsid w:val="71461992"/>
    <w:rsid w:val="714D4ACF"/>
    <w:rsid w:val="715440AF"/>
    <w:rsid w:val="71566079"/>
    <w:rsid w:val="71631C92"/>
    <w:rsid w:val="716734AF"/>
    <w:rsid w:val="716E75F6"/>
    <w:rsid w:val="716F0EE9"/>
    <w:rsid w:val="71722CDF"/>
    <w:rsid w:val="717E2E2F"/>
    <w:rsid w:val="718246FC"/>
    <w:rsid w:val="71844269"/>
    <w:rsid w:val="718844D0"/>
    <w:rsid w:val="718B55F7"/>
    <w:rsid w:val="71915A8B"/>
    <w:rsid w:val="71922E29"/>
    <w:rsid w:val="71924BD7"/>
    <w:rsid w:val="71956476"/>
    <w:rsid w:val="71A36DE5"/>
    <w:rsid w:val="71A9234E"/>
    <w:rsid w:val="71AF12E6"/>
    <w:rsid w:val="71B40FF2"/>
    <w:rsid w:val="71B87483"/>
    <w:rsid w:val="71BC1F81"/>
    <w:rsid w:val="71C226B0"/>
    <w:rsid w:val="71CE71C3"/>
    <w:rsid w:val="71D46B4E"/>
    <w:rsid w:val="71D7072C"/>
    <w:rsid w:val="71DC5E53"/>
    <w:rsid w:val="71EA4A14"/>
    <w:rsid w:val="71F60663"/>
    <w:rsid w:val="71F77485"/>
    <w:rsid w:val="71F8388A"/>
    <w:rsid w:val="72035AD5"/>
    <w:rsid w:val="72123B90"/>
    <w:rsid w:val="72277B3C"/>
    <w:rsid w:val="722F2426"/>
    <w:rsid w:val="723475F4"/>
    <w:rsid w:val="723503B7"/>
    <w:rsid w:val="723B77F7"/>
    <w:rsid w:val="723E2669"/>
    <w:rsid w:val="724759C2"/>
    <w:rsid w:val="724E6817"/>
    <w:rsid w:val="72536115"/>
    <w:rsid w:val="72556331"/>
    <w:rsid w:val="725D6F93"/>
    <w:rsid w:val="725E2D0C"/>
    <w:rsid w:val="727B3F42"/>
    <w:rsid w:val="727D07D7"/>
    <w:rsid w:val="72807126"/>
    <w:rsid w:val="728704B4"/>
    <w:rsid w:val="728A3B01"/>
    <w:rsid w:val="728F1D8A"/>
    <w:rsid w:val="72916C3D"/>
    <w:rsid w:val="72964253"/>
    <w:rsid w:val="729D3834"/>
    <w:rsid w:val="729E1DB1"/>
    <w:rsid w:val="729E7D22"/>
    <w:rsid w:val="72AB5C7D"/>
    <w:rsid w:val="72AE77EF"/>
    <w:rsid w:val="72B868C0"/>
    <w:rsid w:val="72BB015E"/>
    <w:rsid w:val="72BF43C3"/>
    <w:rsid w:val="72BF7592"/>
    <w:rsid w:val="72C20D55"/>
    <w:rsid w:val="72D668D1"/>
    <w:rsid w:val="72EA483C"/>
    <w:rsid w:val="72EC6569"/>
    <w:rsid w:val="72F378F8"/>
    <w:rsid w:val="72F64354"/>
    <w:rsid w:val="730E028E"/>
    <w:rsid w:val="73133AF6"/>
    <w:rsid w:val="73173CE2"/>
    <w:rsid w:val="73247AB1"/>
    <w:rsid w:val="732756A7"/>
    <w:rsid w:val="732B52E4"/>
    <w:rsid w:val="73441F01"/>
    <w:rsid w:val="734D525A"/>
    <w:rsid w:val="73504D4A"/>
    <w:rsid w:val="7352461E"/>
    <w:rsid w:val="735334F3"/>
    <w:rsid w:val="735A6CE0"/>
    <w:rsid w:val="736A1C8D"/>
    <w:rsid w:val="737326C9"/>
    <w:rsid w:val="73770529"/>
    <w:rsid w:val="73806F1E"/>
    <w:rsid w:val="738A200A"/>
    <w:rsid w:val="738D5656"/>
    <w:rsid w:val="73993FFB"/>
    <w:rsid w:val="739A5FC5"/>
    <w:rsid w:val="73A62BBC"/>
    <w:rsid w:val="73B54BAD"/>
    <w:rsid w:val="73B63396"/>
    <w:rsid w:val="73BC069F"/>
    <w:rsid w:val="73D9089C"/>
    <w:rsid w:val="73DA4614"/>
    <w:rsid w:val="73F310C6"/>
    <w:rsid w:val="73F36D29"/>
    <w:rsid w:val="73F73418"/>
    <w:rsid w:val="740534D5"/>
    <w:rsid w:val="741521AA"/>
    <w:rsid w:val="741D2E7E"/>
    <w:rsid w:val="74316B94"/>
    <w:rsid w:val="744011C6"/>
    <w:rsid w:val="74421E35"/>
    <w:rsid w:val="74512765"/>
    <w:rsid w:val="7452064E"/>
    <w:rsid w:val="74521911"/>
    <w:rsid w:val="745368A0"/>
    <w:rsid w:val="745E0200"/>
    <w:rsid w:val="74677537"/>
    <w:rsid w:val="74687E72"/>
    <w:rsid w:val="74691F1D"/>
    <w:rsid w:val="74797B6E"/>
    <w:rsid w:val="7487479C"/>
    <w:rsid w:val="7496678D"/>
    <w:rsid w:val="74A70885"/>
    <w:rsid w:val="74B135C7"/>
    <w:rsid w:val="74BF3F35"/>
    <w:rsid w:val="74C27582"/>
    <w:rsid w:val="74C74B98"/>
    <w:rsid w:val="74CA0A3C"/>
    <w:rsid w:val="74CA6436"/>
    <w:rsid w:val="74D31A39"/>
    <w:rsid w:val="74DA6C40"/>
    <w:rsid w:val="74DC0714"/>
    <w:rsid w:val="74DF584C"/>
    <w:rsid w:val="74E14357"/>
    <w:rsid w:val="74E82721"/>
    <w:rsid w:val="74EB6AD9"/>
    <w:rsid w:val="74EF3EE2"/>
    <w:rsid w:val="74F6388D"/>
    <w:rsid w:val="74FC443C"/>
    <w:rsid w:val="74FF07D6"/>
    <w:rsid w:val="75103C31"/>
    <w:rsid w:val="75232695"/>
    <w:rsid w:val="752D788A"/>
    <w:rsid w:val="752D7B38"/>
    <w:rsid w:val="7530098F"/>
    <w:rsid w:val="75497CA3"/>
    <w:rsid w:val="754B297D"/>
    <w:rsid w:val="754C32EF"/>
    <w:rsid w:val="75515504"/>
    <w:rsid w:val="75577A04"/>
    <w:rsid w:val="756630D4"/>
    <w:rsid w:val="756803FE"/>
    <w:rsid w:val="756D3991"/>
    <w:rsid w:val="75752846"/>
    <w:rsid w:val="75774223"/>
    <w:rsid w:val="75795A4A"/>
    <w:rsid w:val="757C496B"/>
    <w:rsid w:val="7581743D"/>
    <w:rsid w:val="75961509"/>
    <w:rsid w:val="75963CF6"/>
    <w:rsid w:val="759D1102"/>
    <w:rsid w:val="75AD3D8E"/>
    <w:rsid w:val="75B90985"/>
    <w:rsid w:val="75B95B1F"/>
    <w:rsid w:val="75BB4406"/>
    <w:rsid w:val="75BF1D13"/>
    <w:rsid w:val="75BF30BC"/>
    <w:rsid w:val="75D433FF"/>
    <w:rsid w:val="75D91027"/>
    <w:rsid w:val="75E06C60"/>
    <w:rsid w:val="75E35A02"/>
    <w:rsid w:val="76037E52"/>
    <w:rsid w:val="760865B3"/>
    <w:rsid w:val="762657D1"/>
    <w:rsid w:val="763615F8"/>
    <w:rsid w:val="76384B84"/>
    <w:rsid w:val="763B4154"/>
    <w:rsid w:val="763E0E8A"/>
    <w:rsid w:val="763F62FF"/>
    <w:rsid w:val="764D1B7C"/>
    <w:rsid w:val="76564426"/>
    <w:rsid w:val="76587637"/>
    <w:rsid w:val="766564D1"/>
    <w:rsid w:val="76724FD8"/>
    <w:rsid w:val="767D7C04"/>
    <w:rsid w:val="767E29CC"/>
    <w:rsid w:val="7682521B"/>
    <w:rsid w:val="76870A83"/>
    <w:rsid w:val="768A391B"/>
    <w:rsid w:val="76935A30"/>
    <w:rsid w:val="76B949B4"/>
    <w:rsid w:val="76C53359"/>
    <w:rsid w:val="76CD141C"/>
    <w:rsid w:val="76D01A12"/>
    <w:rsid w:val="76E27666"/>
    <w:rsid w:val="76E92E55"/>
    <w:rsid w:val="76F17365"/>
    <w:rsid w:val="76F37EC6"/>
    <w:rsid w:val="76F804CE"/>
    <w:rsid w:val="76F854DD"/>
    <w:rsid w:val="77000835"/>
    <w:rsid w:val="770A7A36"/>
    <w:rsid w:val="770E4D00"/>
    <w:rsid w:val="772A1B8E"/>
    <w:rsid w:val="772A5685"/>
    <w:rsid w:val="772B4AF6"/>
    <w:rsid w:val="77346165"/>
    <w:rsid w:val="773724A9"/>
    <w:rsid w:val="77390258"/>
    <w:rsid w:val="77470212"/>
    <w:rsid w:val="774A020A"/>
    <w:rsid w:val="775121ED"/>
    <w:rsid w:val="77665910"/>
    <w:rsid w:val="77690189"/>
    <w:rsid w:val="77752FD1"/>
    <w:rsid w:val="777A4144"/>
    <w:rsid w:val="77885433"/>
    <w:rsid w:val="7789322C"/>
    <w:rsid w:val="7794486E"/>
    <w:rsid w:val="77980A6E"/>
    <w:rsid w:val="779F004E"/>
    <w:rsid w:val="77CF309C"/>
    <w:rsid w:val="77D5016E"/>
    <w:rsid w:val="77D66A0D"/>
    <w:rsid w:val="77DE0B76"/>
    <w:rsid w:val="77E86AC9"/>
    <w:rsid w:val="77F57C6E"/>
    <w:rsid w:val="77F938BC"/>
    <w:rsid w:val="780305DD"/>
    <w:rsid w:val="781759BD"/>
    <w:rsid w:val="78213C07"/>
    <w:rsid w:val="78232A2D"/>
    <w:rsid w:val="78277346"/>
    <w:rsid w:val="782A5B6A"/>
    <w:rsid w:val="782E748C"/>
    <w:rsid w:val="78360DC6"/>
    <w:rsid w:val="783C589D"/>
    <w:rsid w:val="783E1615"/>
    <w:rsid w:val="783F5401"/>
    <w:rsid w:val="784148CE"/>
    <w:rsid w:val="784D1D2A"/>
    <w:rsid w:val="784D7AAA"/>
    <w:rsid w:val="78582B98"/>
    <w:rsid w:val="7860333A"/>
    <w:rsid w:val="78621EDA"/>
    <w:rsid w:val="786A065C"/>
    <w:rsid w:val="786B5991"/>
    <w:rsid w:val="786E04B7"/>
    <w:rsid w:val="788259A6"/>
    <w:rsid w:val="78850FF2"/>
    <w:rsid w:val="789214E0"/>
    <w:rsid w:val="789C675D"/>
    <w:rsid w:val="78A91184"/>
    <w:rsid w:val="78AA6DDB"/>
    <w:rsid w:val="78B64C80"/>
    <w:rsid w:val="78DA7590"/>
    <w:rsid w:val="78DE6954"/>
    <w:rsid w:val="78E75809"/>
    <w:rsid w:val="78EA52F9"/>
    <w:rsid w:val="78EE0984"/>
    <w:rsid w:val="78EF6D08"/>
    <w:rsid w:val="78F62D61"/>
    <w:rsid w:val="78F91934"/>
    <w:rsid w:val="79012FA6"/>
    <w:rsid w:val="79041559"/>
    <w:rsid w:val="790E2D96"/>
    <w:rsid w:val="79164340"/>
    <w:rsid w:val="79181BBD"/>
    <w:rsid w:val="791D747D"/>
    <w:rsid w:val="79200D1B"/>
    <w:rsid w:val="793622EC"/>
    <w:rsid w:val="793F73F3"/>
    <w:rsid w:val="79404F19"/>
    <w:rsid w:val="7944089A"/>
    <w:rsid w:val="794528D6"/>
    <w:rsid w:val="794B4AFB"/>
    <w:rsid w:val="79504D96"/>
    <w:rsid w:val="79507A07"/>
    <w:rsid w:val="79664D3B"/>
    <w:rsid w:val="79683166"/>
    <w:rsid w:val="796C5667"/>
    <w:rsid w:val="796D487D"/>
    <w:rsid w:val="79703A50"/>
    <w:rsid w:val="797202A0"/>
    <w:rsid w:val="797C08AB"/>
    <w:rsid w:val="79874379"/>
    <w:rsid w:val="7992744B"/>
    <w:rsid w:val="799541BE"/>
    <w:rsid w:val="79984D55"/>
    <w:rsid w:val="79A44820"/>
    <w:rsid w:val="79A6126A"/>
    <w:rsid w:val="79AA3666"/>
    <w:rsid w:val="79B31B8F"/>
    <w:rsid w:val="79BD47BC"/>
    <w:rsid w:val="79BF6786"/>
    <w:rsid w:val="79C63670"/>
    <w:rsid w:val="79D833A4"/>
    <w:rsid w:val="79E104AA"/>
    <w:rsid w:val="79EB757B"/>
    <w:rsid w:val="79FE6512"/>
    <w:rsid w:val="7A02174A"/>
    <w:rsid w:val="7A0643B5"/>
    <w:rsid w:val="7A066163"/>
    <w:rsid w:val="7A094BDB"/>
    <w:rsid w:val="7A0B19CB"/>
    <w:rsid w:val="7A1349CC"/>
    <w:rsid w:val="7A17722A"/>
    <w:rsid w:val="7A3843B0"/>
    <w:rsid w:val="7A4D5B40"/>
    <w:rsid w:val="7A4E17FC"/>
    <w:rsid w:val="7A6B246A"/>
    <w:rsid w:val="7A6B3868"/>
    <w:rsid w:val="7A741675"/>
    <w:rsid w:val="7A7A3B46"/>
    <w:rsid w:val="7A7C069E"/>
    <w:rsid w:val="7A7C4B3C"/>
    <w:rsid w:val="7A7E5483"/>
    <w:rsid w:val="7A915144"/>
    <w:rsid w:val="7A920C25"/>
    <w:rsid w:val="7A9D6AC7"/>
    <w:rsid w:val="7AA07B71"/>
    <w:rsid w:val="7AA34400"/>
    <w:rsid w:val="7AAC7737"/>
    <w:rsid w:val="7ABB519F"/>
    <w:rsid w:val="7ABD7901"/>
    <w:rsid w:val="7AC97054"/>
    <w:rsid w:val="7AE2097E"/>
    <w:rsid w:val="7AEF2F30"/>
    <w:rsid w:val="7AF91BC2"/>
    <w:rsid w:val="7AFB543A"/>
    <w:rsid w:val="7AFD0CDF"/>
    <w:rsid w:val="7B0F3A72"/>
    <w:rsid w:val="7B1A1E03"/>
    <w:rsid w:val="7B1B2EDA"/>
    <w:rsid w:val="7B24209E"/>
    <w:rsid w:val="7B292109"/>
    <w:rsid w:val="7B2C7E4B"/>
    <w:rsid w:val="7B45093B"/>
    <w:rsid w:val="7B453F4C"/>
    <w:rsid w:val="7B4C4049"/>
    <w:rsid w:val="7B652043"/>
    <w:rsid w:val="7B6916D1"/>
    <w:rsid w:val="7B6E7C23"/>
    <w:rsid w:val="7B6F730F"/>
    <w:rsid w:val="7B711218"/>
    <w:rsid w:val="7B713AB0"/>
    <w:rsid w:val="7B7315D6"/>
    <w:rsid w:val="7B77219D"/>
    <w:rsid w:val="7B803CF3"/>
    <w:rsid w:val="7B815750"/>
    <w:rsid w:val="7B854078"/>
    <w:rsid w:val="7B8732D3"/>
    <w:rsid w:val="7B915B32"/>
    <w:rsid w:val="7B9939D6"/>
    <w:rsid w:val="7B9A3006"/>
    <w:rsid w:val="7B9F686F"/>
    <w:rsid w:val="7BAE4A18"/>
    <w:rsid w:val="7BBA72A6"/>
    <w:rsid w:val="7BCC0CE6"/>
    <w:rsid w:val="7BDA78A7"/>
    <w:rsid w:val="7BDE5CCA"/>
    <w:rsid w:val="7BDF4584"/>
    <w:rsid w:val="7BE349AD"/>
    <w:rsid w:val="7BE8123E"/>
    <w:rsid w:val="7BF87D2D"/>
    <w:rsid w:val="7BFD36FB"/>
    <w:rsid w:val="7C035604"/>
    <w:rsid w:val="7C182615"/>
    <w:rsid w:val="7C1A5EF5"/>
    <w:rsid w:val="7C2C4A7A"/>
    <w:rsid w:val="7C310DE5"/>
    <w:rsid w:val="7C45728F"/>
    <w:rsid w:val="7C460FDB"/>
    <w:rsid w:val="7C4F3DF1"/>
    <w:rsid w:val="7C4F7C82"/>
    <w:rsid w:val="7C574A54"/>
    <w:rsid w:val="7C5C1E56"/>
    <w:rsid w:val="7C603EF2"/>
    <w:rsid w:val="7C630EA1"/>
    <w:rsid w:val="7C821274"/>
    <w:rsid w:val="7CA039F8"/>
    <w:rsid w:val="7CA66076"/>
    <w:rsid w:val="7CAB0471"/>
    <w:rsid w:val="7CB8632C"/>
    <w:rsid w:val="7CD837AC"/>
    <w:rsid w:val="7CE4285F"/>
    <w:rsid w:val="7CF1528D"/>
    <w:rsid w:val="7CF50919"/>
    <w:rsid w:val="7D04579B"/>
    <w:rsid w:val="7D0F0FB9"/>
    <w:rsid w:val="7D1B3CD3"/>
    <w:rsid w:val="7D2232B3"/>
    <w:rsid w:val="7D2A660C"/>
    <w:rsid w:val="7D2D6D84"/>
    <w:rsid w:val="7D3C330C"/>
    <w:rsid w:val="7D4D4953"/>
    <w:rsid w:val="7D4E40A8"/>
    <w:rsid w:val="7D4F084F"/>
    <w:rsid w:val="7D567401"/>
    <w:rsid w:val="7D592A4D"/>
    <w:rsid w:val="7D5A68E1"/>
    <w:rsid w:val="7D63567A"/>
    <w:rsid w:val="7D6417AF"/>
    <w:rsid w:val="7D7035DC"/>
    <w:rsid w:val="7D761C62"/>
    <w:rsid w:val="7D767A7C"/>
    <w:rsid w:val="7D7D556F"/>
    <w:rsid w:val="7D7D6317"/>
    <w:rsid w:val="7D7E55D4"/>
    <w:rsid w:val="7D902913"/>
    <w:rsid w:val="7D9C1EA2"/>
    <w:rsid w:val="7DA01B27"/>
    <w:rsid w:val="7DA737B9"/>
    <w:rsid w:val="7DAB14FB"/>
    <w:rsid w:val="7DC57D11"/>
    <w:rsid w:val="7DC91981"/>
    <w:rsid w:val="7DCC76C3"/>
    <w:rsid w:val="7DDB4A8C"/>
    <w:rsid w:val="7DDF5E0F"/>
    <w:rsid w:val="7DEA0EAB"/>
    <w:rsid w:val="7DF10ED8"/>
    <w:rsid w:val="7DF54524"/>
    <w:rsid w:val="7E0F7FBE"/>
    <w:rsid w:val="7E1846B6"/>
    <w:rsid w:val="7E185273"/>
    <w:rsid w:val="7E1A21DD"/>
    <w:rsid w:val="7E374B3D"/>
    <w:rsid w:val="7E3C20C3"/>
    <w:rsid w:val="7E46233B"/>
    <w:rsid w:val="7E5616D8"/>
    <w:rsid w:val="7E5A61B1"/>
    <w:rsid w:val="7E5E7BAD"/>
    <w:rsid w:val="7E640635"/>
    <w:rsid w:val="7E653AE9"/>
    <w:rsid w:val="7E743E4C"/>
    <w:rsid w:val="7E7E2495"/>
    <w:rsid w:val="7E7F0292"/>
    <w:rsid w:val="7E805998"/>
    <w:rsid w:val="7E885398"/>
    <w:rsid w:val="7E896B4F"/>
    <w:rsid w:val="7E9308ED"/>
    <w:rsid w:val="7E9410D0"/>
    <w:rsid w:val="7E9C0E44"/>
    <w:rsid w:val="7E9E1731"/>
    <w:rsid w:val="7EA06B86"/>
    <w:rsid w:val="7EA86BB7"/>
    <w:rsid w:val="7EA9715A"/>
    <w:rsid w:val="7EAC28C5"/>
    <w:rsid w:val="7EB02B41"/>
    <w:rsid w:val="7EB0669D"/>
    <w:rsid w:val="7EB75C7D"/>
    <w:rsid w:val="7EC05306"/>
    <w:rsid w:val="7EC45338"/>
    <w:rsid w:val="7ED8383C"/>
    <w:rsid w:val="7ED967B3"/>
    <w:rsid w:val="7EE330B8"/>
    <w:rsid w:val="7EE54599"/>
    <w:rsid w:val="7EF40C80"/>
    <w:rsid w:val="7EFD4725"/>
    <w:rsid w:val="7EFF756B"/>
    <w:rsid w:val="7F005876"/>
    <w:rsid w:val="7F0150D3"/>
    <w:rsid w:val="7F032C71"/>
    <w:rsid w:val="7F1029FF"/>
    <w:rsid w:val="7F132988"/>
    <w:rsid w:val="7F1A48ED"/>
    <w:rsid w:val="7F1C76E6"/>
    <w:rsid w:val="7F2350C1"/>
    <w:rsid w:val="7F285D5E"/>
    <w:rsid w:val="7F3157BC"/>
    <w:rsid w:val="7F365AF4"/>
    <w:rsid w:val="7F477001"/>
    <w:rsid w:val="7F5B485B"/>
    <w:rsid w:val="7F625BE9"/>
    <w:rsid w:val="7F712D22"/>
    <w:rsid w:val="7F74591C"/>
    <w:rsid w:val="7F7C4936"/>
    <w:rsid w:val="7F8D07EB"/>
    <w:rsid w:val="7F947D6D"/>
    <w:rsid w:val="7FAB6DF9"/>
    <w:rsid w:val="7FAF2DF8"/>
    <w:rsid w:val="7FBB354B"/>
    <w:rsid w:val="7FC70142"/>
    <w:rsid w:val="7FCB6C52"/>
    <w:rsid w:val="7FD059E5"/>
    <w:rsid w:val="7FD11F99"/>
    <w:rsid w:val="7FE02FB2"/>
    <w:rsid w:val="7FE42AA2"/>
    <w:rsid w:val="7FE85121"/>
    <w:rsid w:val="7FFA0518"/>
    <w:rsid w:val="7FFB093A"/>
    <w:rsid w:val="7FFB0D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qFormat="1" w:uiPriority="99"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qFormat="1" w:unhideWhenUsed="0"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99"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iPriority="0" w:name="Note Heading"/>
    <w:lsdException w:qFormat="1"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9"/>
    <w:autoRedefine/>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link w:val="38"/>
    <w:qFormat/>
    <w:uiPriority w:val="0"/>
    <w:pPr>
      <w:numPr>
        <w:ilvl w:val="2"/>
        <w:numId w:val="1"/>
      </w:numPr>
      <w:tabs>
        <w:tab w:val="left" w:pos="360"/>
      </w:tabs>
      <w:autoSpaceDE w:val="0"/>
      <w:autoSpaceDN w:val="0"/>
      <w:adjustRightInd w:val="0"/>
      <w:spacing w:line="300" w:lineRule="auto"/>
      <w:textAlignment w:val="baseline"/>
      <w:outlineLvl w:val="2"/>
    </w:pPr>
    <w:rPr>
      <w:rFonts w:ascii="黑体" w:eastAsia="黑体"/>
      <w:b/>
      <w:color w:val="000000"/>
      <w:kern w:val="0"/>
      <w:sz w:val="28"/>
      <w:szCs w:val="20"/>
    </w:rPr>
  </w:style>
  <w:style w:type="paragraph" w:styleId="5">
    <w:name w:val="heading 4"/>
    <w:basedOn w:val="1"/>
    <w:next w:val="1"/>
    <w:qFormat/>
    <w:uiPriority w:val="0"/>
    <w:pPr>
      <w:keepNext/>
      <w:keepLines/>
      <w:spacing w:before="120" w:after="120"/>
      <w:outlineLvl w:val="3"/>
    </w:pPr>
    <w:rPr>
      <w:rFonts w:ascii="Arial" w:hAnsi="Arial" w:eastAsia="黑体"/>
      <w:b/>
      <w:sz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szCs w:val="20"/>
    </w:rPr>
  </w:style>
  <w:style w:type="paragraph" w:styleId="7">
    <w:name w:val="toa heading"/>
    <w:basedOn w:val="1"/>
    <w:next w:val="1"/>
    <w:semiHidden/>
    <w:qFormat/>
    <w:uiPriority w:val="0"/>
    <w:pPr>
      <w:spacing w:before="120"/>
    </w:pPr>
    <w:rPr>
      <w:rFonts w:ascii="Arial" w:hAnsi="Arial" w:cs="Arial"/>
      <w:sz w:val="24"/>
    </w:rPr>
  </w:style>
  <w:style w:type="paragraph" w:styleId="8">
    <w:name w:val="annotation text"/>
    <w:basedOn w:val="1"/>
    <w:link w:val="49"/>
    <w:autoRedefine/>
    <w:qFormat/>
    <w:uiPriority w:val="99"/>
    <w:pPr>
      <w:jc w:val="left"/>
    </w:pPr>
  </w:style>
  <w:style w:type="paragraph" w:styleId="9">
    <w:name w:val="Body Text"/>
    <w:basedOn w:val="1"/>
    <w:qFormat/>
    <w:uiPriority w:val="0"/>
    <w:rPr>
      <w:rFonts w:ascii="楷体_GB2312" w:hAnsi="Arial" w:eastAsia="楷体_GB2312"/>
      <w:sz w:val="28"/>
    </w:rPr>
  </w:style>
  <w:style w:type="paragraph" w:styleId="10">
    <w:name w:val="Body Text Indent"/>
    <w:basedOn w:val="1"/>
    <w:link w:val="42"/>
    <w:qFormat/>
    <w:uiPriority w:val="0"/>
    <w:pPr>
      <w:spacing w:line="480" w:lineRule="auto"/>
      <w:ind w:firstLine="600"/>
    </w:pPr>
    <w:rPr>
      <w:sz w:val="28"/>
      <w:szCs w:val="20"/>
    </w:rPr>
  </w:style>
  <w:style w:type="paragraph" w:styleId="11">
    <w:name w:val="index 4"/>
    <w:basedOn w:val="1"/>
    <w:next w:val="1"/>
    <w:semiHidden/>
    <w:unhideWhenUsed/>
    <w:qFormat/>
    <w:uiPriority w:val="99"/>
    <w:pPr>
      <w:ind w:left="600" w:leftChars="600"/>
    </w:pPr>
  </w:style>
  <w:style w:type="paragraph" w:styleId="12">
    <w:name w:val="Plain Text"/>
    <w:basedOn w:val="1"/>
    <w:link w:val="44"/>
    <w:qFormat/>
    <w:uiPriority w:val="0"/>
    <w:pPr>
      <w:widowControl/>
      <w:overflowPunct w:val="0"/>
      <w:autoSpaceDE w:val="0"/>
      <w:autoSpaceDN w:val="0"/>
      <w:adjustRightInd w:val="0"/>
      <w:jc w:val="left"/>
      <w:textAlignment w:val="baseline"/>
    </w:pPr>
    <w:rPr>
      <w:rFonts w:ascii="宋体" w:hAnsi="Courier New"/>
      <w:kern w:val="0"/>
      <w:szCs w:val="20"/>
    </w:rPr>
  </w:style>
  <w:style w:type="paragraph" w:styleId="13">
    <w:name w:val="Balloon Text"/>
    <w:basedOn w:val="1"/>
    <w:link w:val="41"/>
    <w:autoRedefine/>
    <w:qFormat/>
    <w:uiPriority w:val="0"/>
    <w:rPr>
      <w:sz w:val="18"/>
      <w:szCs w:val="18"/>
    </w:rPr>
  </w:style>
  <w:style w:type="paragraph" w:styleId="14">
    <w:name w:val="footer"/>
    <w:basedOn w:val="1"/>
    <w:link w:val="43"/>
    <w:autoRedefine/>
    <w:qFormat/>
    <w:uiPriority w:val="99"/>
    <w:pPr>
      <w:tabs>
        <w:tab w:val="center" w:pos="4153"/>
        <w:tab w:val="right" w:pos="8306"/>
      </w:tabs>
      <w:snapToGrid w:val="0"/>
      <w:jc w:val="left"/>
    </w:pPr>
    <w:rPr>
      <w:sz w:val="18"/>
      <w:szCs w:val="18"/>
    </w:rPr>
  </w:style>
  <w:style w:type="paragraph" w:styleId="15">
    <w:name w:val="header"/>
    <w:basedOn w:val="1"/>
    <w:link w:val="45"/>
    <w:qFormat/>
    <w:uiPriority w:val="99"/>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qFormat/>
    <w:uiPriority w:val="99"/>
    <w:pPr>
      <w:spacing w:before="240" w:after="60" w:line="312" w:lineRule="auto"/>
      <w:jc w:val="center"/>
      <w:outlineLvl w:val="1"/>
    </w:pPr>
    <w:rPr>
      <w:rFonts w:ascii="Cambria" w:hAnsi="Cambria"/>
      <w:b/>
      <w:bCs/>
      <w:kern w:val="28"/>
      <w:sz w:val="32"/>
      <w:szCs w:val="32"/>
    </w:rPr>
  </w:style>
  <w:style w:type="paragraph" w:styleId="17">
    <w:name w:val="Body Text 2"/>
    <w:basedOn w:val="1"/>
    <w:autoRedefine/>
    <w:semiHidden/>
    <w:unhideWhenUsed/>
    <w:qFormat/>
    <w:uiPriority w:val="0"/>
    <w:pPr>
      <w:tabs>
        <w:tab w:val="left" w:pos="0"/>
      </w:tabs>
      <w:spacing w:line="400" w:lineRule="atLeast"/>
    </w:pPr>
    <w:rPr>
      <w:rFonts w:ascii="Arial" w:hAnsi="Arial"/>
      <w:color w:val="000000"/>
    </w:rPr>
  </w:style>
  <w:style w:type="paragraph" w:styleId="18">
    <w:name w:val="HTML Preformatted"/>
    <w:basedOn w:val="1"/>
    <w:link w:val="40"/>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20">
    <w:name w:val="annotation subject"/>
    <w:basedOn w:val="8"/>
    <w:next w:val="8"/>
    <w:link w:val="50"/>
    <w:autoRedefine/>
    <w:qFormat/>
    <w:uiPriority w:val="0"/>
    <w:rPr>
      <w:b/>
      <w:bCs/>
    </w:rPr>
  </w:style>
  <w:style w:type="paragraph" w:styleId="21">
    <w:name w:val="Body Text First Indent"/>
    <w:basedOn w:val="9"/>
    <w:autoRedefine/>
    <w:qFormat/>
    <w:uiPriority w:val="0"/>
    <w:pPr>
      <w:spacing w:line="360" w:lineRule="auto"/>
      <w:ind w:firstLine="482"/>
    </w:pPr>
    <w:rPr>
      <w:b/>
      <w:kern w:val="0"/>
      <w:sz w:val="24"/>
    </w:rPr>
  </w:style>
  <w:style w:type="paragraph" w:styleId="22">
    <w:name w:val="Body Text First Indent 2"/>
    <w:basedOn w:val="10"/>
    <w:unhideWhenUsed/>
    <w:qFormat/>
    <w:uiPriority w:val="99"/>
    <w:pPr>
      <w:spacing w:before="100" w:beforeAutospacing="1"/>
      <w:ind w:hanging="200" w:hangingChars="200"/>
    </w:pPr>
    <w:rPr>
      <w:rFonts w:cs="宋体"/>
    </w:rPr>
  </w:style>
  <w:style w:type="table" w:styleId="24">
    <w:name w:val="Table Grid"/>
    <w:basedOn w:val="23"/>
    <w:unhideWhenUsed/>
    <w:qFormat/>
    <w:uiPriority w:val="5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qFormat/>
    <w:uiPriority w:val="0"/>
    <w:rPr>
      <w:b/>
    </w:rPr>
  </w:style>
  <w:style w:type="character" w:styleId="27">
    <w:name w:val="annotation reference"/>
    <w:basedOn w:val="25"/>
    <w:qFormat/>
    <w:uiPriority w:val="99"/>
    <w:rPr>
      <w:sz w:val="21"/>
      <w:szCs w:val="21"/>
    </w:rPr>
  </w:style>
  <w:style w:type="paragraph" w:customStyle="1" w:styleId="2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9">
    <w:name w:val="正文首行缩进 21"/>
    <w:basedOn w:val="30"/>
    <w:next w:val="1"/>
    <w:qFormat/>
    <w:uiPriority w:val="0"/>
    <w:pPr>
      <w:spacing w:line="360" w:lineRule="auto"/>
      <w:ind w:firstLine="420"/>
    </w:pPr>
    <w:rPr>
      <w:rFonts w:ascii="宋体" w:hAnsi="宋体" w:eastAsia="宋体"/>
      <w:sz w:val="21"/>
      <w:szCs w:val="20"/>
    </w:rPr>
  </w:style>
  <w:style w:type="paragraph" w:customStyle="1" w:styleId="30">
    <w:name w:val="正文文本缩进11"/>
    <w:basedOn w:val="1"/>
    <w:next w:val="31"/>
    <w:qFormat/>
    <w:uiPriority w:val="0"/>
    <w:pPr>
      <w:ind w:firstLine="645"/>
    </w:pPr>
    <w:rPr>
      <w:rFonts w:ascii="楷体_GB2312" w:eastAsia="楷体_GB2312"/>
      <w:sz w:val="32"/>
      <w:szCs w:val="32"/>
    </w:rPr>
  </w:style>
  <w:style w:type="paragraph" w:customStyle="1" w:styleId="31">
    <w:name w:val="寄信人地址1"/>
    <w:basedOn w:val="1"/>
    <w:qFormat/>
    <w:uiPriority w:val="0"/>
    <w:rPr>
      <w:rFonts w:ascii="Arial" w:hAnsi="Arial" w:cs="宋体"/>
    </w:rPr>
  </w:style>
  <w:style w:type="paragraph" w:customStyle="1" w:styleId="32">
    <w:name w:val="标题 41"/>
    <w:basedOn w:val="1"/>
    <w:next w:val="1"/>
    <w:qFormat/>
    <w:uiPriority w:val="0"/>
    <w:pPr>
      <w:keepNext/>
      <w:keepLines/>
      <w:spacing w:before="120" w:after="120"/>
      <w:outlineLvl w:val="3"/>
    </w:pPr>
    <w:rPr>
      <w:rFonts w:ascii="Arial" w:hAnsi="Arial" w:eastAsia="黑体"/>
      <w:b/>
      <w:sz w:val="28"/>
    </w:rPr>
  </w:style>
  <w:style w:type="character" w:customStyle="1" w:styleId="33">
    <w:name w:val="标题 1 字符"/>
    <w:basedOn w:val="25"/>
    <w:link w:val="2"/>
    <w:qFormat/>
    <w:uiPriority w:val="0"/>
    <w:rPr>
      <w:b/>
      <w:bCs/>
      <w:kern w:val="44"/>
      <w:sz w:val="44"/>
      <w:szCs w:val="44"/>
    </w:rPr>
  </w:style>
  <w:style w:type="paragraph" w:customStyle="1" w:styleId="34">
    <w:name w:val="TableOfAuthoring"/>
    <w:basedOn w:val="1"/>
    <w:next w:val="1"/>
    <w:autoRedefine/>
    <w:qFormat/>
    <w:uiPriority w:val="0"/>
    <w:pPr>
      <w:ind w:left="420" w:leftChars="200"/>
      <w:textAlignment w:val="baseline"/>
    </w:pPr>
  </w:style>
  <w:style w:type="paragraph" w:customStyle="1" w:styleId="35">
    <w:name w:val="正文1"/>
    <w:next w:val="1"/>
    <w:qFormat/>
    <w:uiPriority w:val="0"/>
    <w:pPr>
      <w:jc w:val="both"/>
    </w:pPr>
    <w:rPr>
      <w:rFonts w:ascii="Times New Roman" w:hAnsi="Times New Roman" w:eastAsia="宋体" w:cs="Times New Roman"/>
      <w:kern w:val="2"/>
      <w:sz w:val="21"/>
      <w:szCs w:val="21"/>
      <w:lang w:val="en-US" w:eastAsia="zh-CN" w:bidi="ar-SA"/>
    </w:rPr>
  </w:style>
  <w:style w:type="paragraph" w:styleId="36">
    <w:name w:val="List Paragraph"/>
    <w:basedOn w:val="1"/>
    <w:autoRedefine/>
    <w:qFormat/>
    <w:uiPriority w:val="99"/>
    <w:pPr>
      <w:ind w:firstLine="420" w:firstLineChars="200"/>
    </w:pPr>
  </w:style>
  <w:style w:type="paragraph" w:customStyle="1" w:styleId="37">
    <w:name w:val="DAS正文"/>
    <w:basedOn w:val="1"/>
    <w:autoRedefine/>
    <w:qFormat/>
    <w:uiPriority w:val="0"/>
    <w:pPr>
      <w:spacing w:line="360" w:lineRule="auto"/>
      <w:ind w:right="181" w:firstLine="480"/>
    </w:pPr>
    <w:rPr>
      <w:rFonts w:ascii="Verdana" w:hAnsi="Verdana"/>
    </w:rPr>
  </w:style>
  <w:style w:type="character" w:customStyle="1" w:styleId="38">
    <w:name w:val="标题 3 字符"/>
    <w:basedOn w:val="25"/>
    <w:link w:val="4"/>
    <w:qFormat/>
    <w:uiPriority w:val="0"/>
    <w:rPr>
      <w:rFonts w:ascii="黑体" w:eastAsia="黑体"/>
      <w:b/>
      <w:color w:val="000000"/>
      <w:sz w:val="28"/>
    </w:rPr>
  </w:style>
  <w:style w:type="character" w:customStyle="1" w:styleId="39">
    <w:name w:val="标题 2 字符"/>
    <w:basedOn w:val="25"/>
    <w:link w:val="3"/>
    <w:autoRedefine/>
    <w:semiHidden/>
    <w:qFormat/>
    <w:uiPriority w:val="0"/>
    <w:rPr>
      <w:rFonts w:ascii="Cambria" w:hAnsi="Cambria" w:eastAsia="宋体" w:cs="Times New Roman"/>
      <w:b/>
      <w:bCs/>
      <w:kern w:val="2"/>
      <w:sz w:val="32"/>
      <w:szCs w:val="32"/>
    </w:rPr>
  </w:style>
  <w:style w:type="character" w:customStyle="1" w:styleId="40">
    <w:name w:val="HTML 预设格式 字符"/>
    <w:basedOn w:val="25"/>
    <w:link w:val="18"/>
    <w:qFormat/>
    <w:uiPriority w:val="99"/>
    <w:rPr>
      <w:rFonts w:ascii="宋体" w:hAnsi="宋体" w:cs="宋体"/>
      <w:sz w:val="24"/>
      <w:szCs w:val="24"/>
    </w:rPr>
  </w:style>
  <w:style w:type="character" w:customStyle="1" w:styleId="41">
    <w:name w:val="批注框文本 字符"/>
    <w:basedOn w:val="25"/>
    <w:link w:val="13"/>
    <w:autoRedefine/>
    <w:qFormat/>
    <w:uiPriority w:val="0"/>
    <w:rPr>
      <w:kern w:val="2"/>
      <w:sz w:val="18"/>
      <w:szCs w:val="18"/>
    </w:rPr>
  </w:style>
  <w:style w:type="character" w:customStyle="1" w:styleId="42">
    <w:name w:val="正文文本缩进 字符"/>
    <w:basedOn w:val="25"/>
    <w:link w:val="10"/>
    <w:qFormat/>
    <w:uiPriority w:val="0"/>
    <w:rPr>
      <w:kern w:val="2"/>
      <w:sz w:val="28"/>
    </w:rPr>
  </w:style>
  <w:style w:type="character" w:customStyle="1" w:styleId="43">
    <w:name w:val="页脚 字符"/>
    <w:link w:val="14"/>
    <w:qFormat/>
    <w:uiPriority w:val="99"/>
    <w:rPr>
      <w:kern w:val="2"/>
      <w:sz w:val="18"/>
      <w:szCs w:val="18"/>
    </w:rPr>
  </w:style>
  <w:style w:type="character" w:customStyle="1" w:styleId="44">
    <w:name w:val="纯文本 字符"/>
    <w:basedOn w:val="25"/>
    <w:link w:val="12"/>
    <w:autoRedefine/>
    <w:qFormat/>
    <w:uiPriority w:val="0"/>
    <w:rPr>
      <w:rFonts w:ascii="宋体" w:hAnsi="Courier New"/>
      <w:sz w:val="21"/>
      <w:lang w:val="en-US" w:eastAsia="zh-CN"/>
    </w:rPr>
  </w:style>
  <w:style w:type="character" w:customStyle="1" w:styleId="45">
    <w:name w:val="页眉 字符"/>
    <w:link w:val="15"/>
    <w:qFormat/>
    <w:uiPriority w:val="99"/>
    <w:rPr>
      <w:kern w:val="2"/>
      <w:sz w:val="18"/>
      <w:szCs w:val="18"/>
    </w:rPr>
  </w:style>
  <w:style w:type="paragraph" w:customStyle="1" w:styleId="46">
    <w:name w:val="样式 标题 1 + 宋体 居中 段前: 48 磅 段后: 12 磅 行距: 1.5 倍行距"/>
    <w:basedOn w:val="2"/>
    <w:next w:val="10"/>
    <w:qFormat/>
    <w:uiPriority w:val="0"/>
    <w:pPr>
      <w:keepNext w:val="0"/>
      <w:keepLines w:val="0"/>
      <w:adjustRightInd w:val="0"/>
      <w:spacing w:before="0" w:after="0" w:line="360" w:lineRule="auto"/>
      <w:jc w:val="center"/>
      <w:textAlignment w:val="baseline"/>
    </w:pPr>
    <w:rPr>
      <w:rFonts w:ascii="Courier New" w:hAnsi="Courier New" w:eastAsia="仿宋_GB2312" w:cs="Courier New"/>
      <w:kern w:val="2"/>
      <w:sz w:val="32"/>
      <w:szCs w:val="32"/>
      <w:lang w:val="zh-CN"/>
    </w:rPr>
  </w:style>
  <w:style w:type="paragraph" w:customStyle="1" w:styleId="47">
    <w:name w:val="样式 标题 2 + Times New Roman 四号 非加粗 段前: 5 磅 段后: 0 磅 行距: 固定值 20..."/>
    <w:basedOn w:val="3"/>
    <w:qFormat/>
    <w:uiPriority w:val="0"/>
    <w:pPr>
      <w:spacing w:before="100" w:after="0" w:line="400" w:lineRule="exact"/>
    </w:pPr>
    <w:rPr>
      <w:rFonts w:ascii="@时尚中黑简体" w:hAnsi="@时尚中黑简体" w:eastAsia="Courier New" w:cs="Courier New"/>
      <w:b w:val="0"/>
      <w:bCs w:val="0"/>
      <w:sz w:val="28"/>
      <w:szCs w:val="20"/>
    </w:rPr>
  </w:style>
  <w:style w:type="paragraph" w:customStyle="1" w:styleId="48">
    <w:name w:val="reader-word-layer"/>
    <w:basedOn w:val="1"/>
    <w:autoRedefine/>
    <w:qFormat/>
    <w:uiPriority w:val="0"/>
    <w:pPr>
      <w:widowControl/>
      <w:spacing w:before="100" w:beforeAutospacing="1" w:after="100" w:afterAutospacing="1"/>
      <w:jc w:val="left"/>
    </w:pPr>
    <w:rPr>
      <w:rFonts w:ascii="宋体" w:hAnsi="宋体" w:cs="宋体"/>
      <w:kern w:val="0"/>
      <w:sz w:val="24"/>
    </w:rPr>
  </w:style>
  <w:style w:type="character" w:customStyle="1" w:styleId="49">
    <w:name w:val="批注文字 字符"/>
    <w:basedOn w:val="25"/>
    <w:link w:val="8"/>
    <w:autoRedefine/>
    <w:qFormat/>
    <w:uiPriority w:val="99"/>
    <w:rPr>
      <w:kern w:val="2"/>
      <w:sz w:val="21"/>
      <w:szCs w:val="24"/>
    </w:rPr>
  </w:style>
  <w:style w:type="character" w:customStyle="1" w:styleId="50">
    <w:name w:val="批注主题 字符"/>
    <w:basedOn w:val="49"/>
    <w:link w:val="20"/>
    <w:autoRedefine/>
    <w:qFormat/>
    <w:uiPriority w:val="0"/>
    <w:rPr>
      <w:b/>
      <w:bCs/>
      <w:kern w:val="2"/>
      <w:sz w:val="21"/>
      <w:szCs w:val="24"/>
    </w:rPr>
  </w:style>
  <w:style w:type="paragraph" w:customStyle="1" w:styleId="51">
    <w:name w:val="修订1"/>
    <w:autoRedefine/>
    <w:hidden/>
    <w:semiHidden/>
    <w:qFormat/>
    <w:uiPriority w:val="99"/>
    <w:rPr>
      <w:rFonts w:ascii="Times New Roman" w:hAnsi="Times New Roman" w:eastAsia="宋体" w:cs="Times New Roman"/>
      <w:kern w:val="2"/>
      <w:sz w:val="21"/>
      <w:szCs w:val="24"/>
      <w:lang w:val="en-US" w:eastAsia="zh-CN" w:bidi="ar-SA"/>
    </w:rPr>
  </w:style>
  <w:style w:type="paragraph" w:customStyle="1" w:styleId="52">
    <w:name w:val="修订2"/>
    <w:autoRedefine/>
    <w:hidden/>
    <w:unhideWhenUsed/>
    <w:qFormat/>
    <w:uiPriority w:val="99"/>
    <w:rPr>
      <w:rFonts w:ascii="Times New Roman" w:hAnsi="Times New Roman" w:eastAsia="宋体" w:cs="Times New Roman"/>
      <w:kern w:val="2"/>
      <w:sz w:val="21"/>
      <w:szCs w:val="24"/>
      <w:lang w:val="en-US" w:eastAsia="zh-CN" w:bidi="ar-SA"/>
    </w:rPr>
  </w:style>
  <w:style w:type="paragraph" w:customStyle="1" w:styleId="53">
    <w:name w:val="正文_1"/>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4">
    <w:name w:val="标题 2_1"/>
    <w:basedOn w:val="53"/>
    <w:next w:val="53"/>
    <w:link w:val="55"/>
    <w:qFormat/>
    <w:uiPriority w:val="0"/>
    <w:pPr>
      <w:keepNext/>
      <w:keepLines/>
      <w:spacing w:before="260" w:after="260" w:line="416" w:lineRule="auto"/>
      <w:outlineLvl w:val="1"/>
    </w:pPr>
    <w:rPr>
      <w:rFonts w:ascii="Cambria" w:hAnsi="Cambria"/>
      <w:b/>
      <w:bCs/>
      <w:sz w:val="32"/>
      <w:szCs w:val="32"/>
    </w:rPr>
  </w:style>
  <w:style w:type="character" w:customStyle="1" w:styleId="55">
    <w:name w:val="标题 2 Char_1"/>
    <w:basedOn w:val="25"/>
    <w:link w:val="54"/>
    <w:autoRedefine/>
    <w:qFormat/>
    <w:uiPriority w:val="0"/>
    <w:rPr>
      <w:rFonts w:ascii="Cambria" w:hAnsi="Cambria"/>
      <w:b/>
      <w:bCs/>
      <w:kern w:val="2"/>
      <w:sz w:val="32"/>
      <w:szCs w:val="32"/>
    </w:rPr>
  </w:style>
  <w:style w:type="paragraph" w:customStyle="1" w:styleId="56">
    <w:name w:val="修订3"/>
    <w:autoRedefine/>
    <w:hidden/>
    <w:unhideWhenUsed/>
    <w:qFormat/>
    <w:uiPriority w:val="99"/>
    <w:rPr>
      <w:rFonts w:ascii="Times New Roman" w:hAnsi="Times New Roman" w:eastAsia="宋体" w:cs="Times New Roman"/>
      <w:kern w:val="2"/>
      <w:sz w:val="21"/>
      <w:szCs w:val="24"/>
      <w:lang w:val="en-US" w:eastAsia="zh-CN" w:bidi="ar-SA"/>
    </w:rPr>
  </w:style>
  <w:style w:type="paragraph" w:customStyle="1" w:styleId="57">
    <w:name w:val="[Normal]"/>
    <w:qFormat/>
    <w:uiPriority w:val="0"/>
    <w:rPr>
      <w:rFonts w:ascii="方正仿宋简体" w:hAnsi="方正仿宋简体" w:eastAsia="方正仿宋简体" w:cs="Courier New"/>
      <w:sz w:val="24"/>
      <w:szCs w:val="22"/>
      <w:lang w:val="zh-CN" w:eastAsia="zh-CN" w:bidi="ar-SA"/>
    </w:rPr>
  </w:style>
  <w:style w:type="paragraph" w:customStyle="1" w:styleId="58">
    <w:name w:val="List Paragraph1"/>
    <w:basedOn w:val="1"/>
    <w:qFormat/>
    <w:uiPriority w:val="0"/>
    <w:rPr>
      <w:rFonts w:ascii="等线" w:hAnsi="等线"/>
    </w:rPr>
  </w:style>
  <w:style w:type="paragraph" w:customStyle="1" w:styleId="59">
    <w:name w:val="正文 A"/>
    <w:autoRedefine/>
    <w:qFormat/>
    <w:uiPriority w:val="0"/>
    <w:pPr>
      <w:framePr w:wrap="around" w:vAnchor="margin" w:hAnchor="text" w:y="1"/>
      <w:widowControl w:val="0"/>
      <w:jc w:val="both"/>
    </w:pPr>
    <w:rPr>
      <w:rFonts w:ascii="Calibri" w:hAnsi="Calibri" w:eastAsia="Calibri" w:cs="Calibri"/>
      <w:color w:val="000000"/>
      <w:kern w:val="2"/>
      <w:sz w:val="21"/>
      <w:szCs w:val="21"/>
      <w:u w:color="000000"/>
      <w:lang w:val="en-US" w:eastAsia="zh-CN" w:bidi="ar-SA"/>
    </w:rPr>
  </w:style>
  <w:style w:type="paragraph" w:customStyle="1" w:styleId="60">
    <w:name w:val="black1"/>
    <w:basedOn w:val="1"/>
    <w:autoRedefine/>
    <w:qFormat/>
    <w:uiPriority w:val="0"/>
    <w:pPr>
      <w:widowControl/>
      <w:spacing w:before="100" w:beforeAutospacing="1" w:after="100" w:afterAutospacing="1"/>
      <w:jc w:val="left"/>
    </w:pPr>
    <w:rPr>
      <w:rFonts w:ascii="宋体" w:hAnsi="宋体"/>
      <w:kern w:val="0"/>
      <w:sz w:val="24"/>
    </w:rPr>
  </w:style>
  <w:style w:type="paragraph" w:customStyle="1" w:styleId="61">
    <w:name w:val="列出段落1"/>
    <w:basedOn w:val="1"/>
    <w:autoRedefine/>
    <w:qFormat/>
    <w:uiPriority w:val="0"/>
    <w:pPr>
      <w:ind w:firstLine="420" w:firstLineChars="200"/>
    </w:pPr>
  </w:style>
  <w:style w:type="character" w:customStyle="1" w:styleId="62">
    <w:name w:val="font31"/>
    <w:basedOn w:val="25"/>
    <w:autoRedefine/>
    <w:qFormat/>
    <w:uiPriority w:val="0"/>
    <w:rPr>
      <w:rFonts w:hint="eastAsia" w:ascii="宋体" w:hAnsi="宋体" w:eastAsia="宋体" w:cs="宋体"/>
      <w:color w:val="000000"/>
      <w:sz w:val="21"/>
      <w:szCs w:val="21"/>
      <w:u w:val="none"/>
    </w:rPr>
  </w:style>
  <w:style w:type="character" w:customStyle="1" w:styleId="63">
    <w:name w:val="font11"/>
    <w:basedOn w:val="25"/>
    <w:autoRedefine/>
    <w:qFormat/>
    <w:uiPriority w:val="0"/>
    <w:rPr>
      <w:rFonts w:hint="eastAsia" w:ascii="宋体" w:hAnsi="宋体" w:eastAsia="宋体" w:cs="宋体"/>
      <w:color w:val="1F1F1F"/>
      <w:sz w:val="21"/>
      <w:szCs w:val="21"/>
      <w:u w:val="none"/>
    </w:rPr>
  </w:style>
  <w:style w:type="paragraph" w:customStyle="1" w:styleId="64">
    <w:name w:val="首行缩进"/>
    <w:basedOn w:val="1"/>
    <w:autoRedefine/>
    <w:qFormat/>
    <w:uiPriority w:val="0"/>
    <w:pPr>
      <w:ind w:firstLine="480" w:firstLineChars="200"/>
    </w:pPr>
    <w:rPr>
      <w:rFonts w:ascii="Calibri" w:hAnsi="Calibri" w:eastAsia="楷体_GB2312"/>
      <w:sz w:val="26"/>
      <w:lang w:val="zh-CN"/>
    </w:rPr>
  </w:style>
  <w:style w:type="character" w:customStyle="1" w:styleId="65">
    <w:name w:val="font01"/>
    <w:basedOn w:val="25"/>
    <w:autoRedefine/>
    <w:qFormat/>
    <w:uiPriority w:val="0"/>
    <w:rPr>
      <w:rFonts w:hint="eastAsia" w:ascii="宋体" w:hAnsi="宋体" w:eastAsia="宋体" w:cs="宋体"/>
      <w:color w:val="000000"/>
      <w:sz w:val="22"/>
      <w:szCs w:val="22"/>
      <w:u w:val="none"/>
    </w:rPr>
  </w:style>
  <w:style w:type="character" w:customStyle="1" w:styleId="66">
    <w:name w:val="font41"/>
    <w:basedOn w:val="25"/>
    <w:qFormat/>
    <w:uiPriority w:val="0"/>
    <w:rPr>
      <w:rFonts w:hint="eastAsia" w:ascii="宋体" w:hAnsi="宋体" w:eastAsia="宋体" w:cs="宋体"/>
      <w:color w:val="000000"/>
      <w:sz w:val="22"/>
      <w:szCs w:val="22"/>
      <w:u w:val="none"/>
      <w:vertAlign w:val="superscript"/>
    </w:rPr>
  </w:style>
  <w:style w:type="paragraph" w:customStyle="1" w:styleId="67">
    <w:name w:val="RZM投标图片和表格"/>
    <w:basedOn w:val="1"/>
    <w:qFormat/>
    <w:uiPriority w:val="0"/>
  </w:style>
  <w:style w:type="paragraph" w:customStyle="1" w:styleId="68">
    <w:name w:val="Normal_13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69">
    <w:name w:val="索引 41"/>
    <w:basedOn w:val="1"/>
    <w:next w:val="1"/>
    <w:autoRedefine/>
    <w:semiHidden/>
    <w:qFormat/>
    <w:uiPriority w:val="0"/>
    <w:pPr>
      <w:ind w:left="1260"/>
    </w:pPr>
    <w:rPr>
      <w:rFonts w:ascii="Calibri" w:hAnsi="Calibri" w:eastAsia="Calibri" w:cs="宋体"/>
      <w:sz w:val="20"/>
      <w:lang w:val="zh-CN"/>
    </w:rPr>
  </w:style>
  <w:style w:type="paragraph" w:customStyle="1" w:styleId="70">
    <w:name w:val="Normal_2_0"/>
    <w:autoRedefine/>
    <w:qFormat/>
    <w:uiPriority w:val="0"/>
    <w:rPr>
      <w:rFonts w:ascii="黑体" w:hAnsi="黑体" w:eastAsia="黑体" w:cs="Times New Roman"/>
      <w:b/>
      <w:sz w:val="32"/>
      <w:szCs w:val="24"/>
      <w:lang w:val="en-US" w:eastAsia="zh-CN" w:bidi="ar-SA"/>
    </w:rPr>
  </w:style>
  <w:style w:type="paragraph" w:customStyle="1" w:styleId="71">
    <w:name w:val="正文_1_0_0"/>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72">
    <w:name w:val="正文_0_0_0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3">
    <w:name w:val="正文_0_0_0_0_0"/>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4">
    <w:name w:val="正文_16"/>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75">
    <w:name w:val="Normal_9_0"/>
    <w:qFormat/>
    <w:uiPriority w:val="0"/>
    <w:rPr>
      <w:rFonts w:ascii="Times New Roman" w:hAnsi="Times New Roman" w:eastAsia="Times New Roman" w:cs="Times New Roman"/>
      <w:sz w:val="24"/>
      <w:szCs w:val="24"/>
      <w:lang w:val="en-US" w:eastAsia="zh-CN" w:bidi="ar-SA"/>
    </w:rPr>
  </w:style>
  <w:style w:type="paragraph" w:customStyle="1" w:styleId="76">
    <w:name w:val="正文_3_0"/>
    <w:qFormat/>
    <w:uiPriority w:val="0"/>
    <w:pPr>
      <w:widowControl w:val="0"/>
      <w:jc w:val="both"/>
    </w:pPr>
    <w:rPr>
      <w:rFonts w:ascii="Calibri" w:hAnsi="Calibri" w:eastAsia="宋体" w:cs="Times New Roman"/>
      <w:sz w:val="21"/>
      <w:szCs w:val="22"/>
      <w:lang w:val="en-US" w:eastAsia="zh-CN" w:bidi="ar-SA"/>
    </w:rPr>
  </w:style>
  <w:style w:type="character" w:customStyle="1" w:styleId="77">
    <w:name w:val="默认段落字体1"/>
    <w:qFormat/>
    <w:uiPriority w:val="0"/>
    <w:rPr>
      <w:rFonts w:ascii="Times New Roman" w:hAnsi="Times New Roman" w:eastAsia="宋体" w:cs="Times New Roman"/>
    </w:rPr>
  </w:style>
  <w:style w:type="paragraph" w:customStyle="1" w:styleId="78">
    <w:name w:val="正文_14_0_0"/>
    <w:qFormat/>
    <w:uiPriority w:val="0"/>
    <w:pPr>
      <w:widowControl w:val="0"/>
      <w:jc w:val="both"/>
    </w:pPr>
    <w:rPr>
      <w:rFonts w:ascii="Times New Roman" w:hAnsi="Times New Roman" w:eastAsia="宋体" w:cs="Times New Roman"/>
      <w:sz w:val="21"/>
      <w:szCs w:val="24"/>
      <w:lang w:val="en-US" w:eastAsia="zh-CN" w:bidi="ar-SA"/>
    </w:rPr>
  </w:style>
  <w:style w:type="paragraph" w:customStyle="1" w:styleId="79">
    <w:name w:val="Normal_3_0"/>
    <w:autoRedefine/>
    <w:qFormat/>
    <w:uiPriority w:val="0"/>
    <w:rPr>
      <w:rFonts w:ascii="黑体" w:hAnsi="黑体" w:eastAsia="黑体" w:cs="Times New Roman"/>
      <w:b/>
      <w:sz w:val="32"/>
      <w:szCs w:val="24"/>
      <w:lang w:val="en-US" w:eastAsia="zh-CN" w:bidi="ar-SA"/>
    </w:rPr>
  </w:style>
  <w:style w:type="paragraph" w:customStyle="1" w:styleId="80">
    <w:name w:val="正文_0_2"/>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81">
    <w:name w:val="Normal_18_0"/>
    <w:qFormat/>
    <w:uiPriority w:val="0"/>
    <w:rPr>
      <w:rFonts w:ascii="黑体" w:hAnsi="黑体" w:eastAsia="黑体" w:cs="Times New Roman"/>
      <w:b/>
      <w:sz w:val="32"/>
      <w:szCs w:val="24"/>
      <w:lang w:val="en-US" w:eastAsia="zh-CN" w:bidi="ar-SA"/>
    </w:rPr>
  </w:style>
  <w:style w:type="paragraph" w:customStyle="1" w:styleId="82">
    <w:name w:val="正文_19"/>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83">
    <w:name w:val="Normal_12_0"/>
    <w:qFormat/>
    <w:uiPriority w:val="0"/>
    <w:rPr>
      <w:rFonts w:ascii="黑体" w:hAnsi="黑体" w:eastAsia="黑体" w:cs="Times New Roman"/>
      <w:b/>
      <w:sz w:val="32"/>
      <w:szCs w:val="24"/>
      <w:lang w:val="en-US" w:eastAsia="zh-CN" w:bidi="ar-SA"/>
    </w:rPr>
  </w:style>
  <w:style w:type="paragraph" w:customStyle="1" w:styleId="84">
    <w:name w:val="正文_7_1_0"/>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85">
    <w:name w:val="正文_4_0_0"/>
    <w:qFormat/>
    <w:uiPriority w:val="0"/>
    <w:pPr>
      <w:widowControl w:val="0"/>
      <w:jc w:val="both"/>
    </w:pPr>
    <w:rPr>
      <w:rFonts w:ascii="Times New Roman" w:hAnsi="Times New Roman" w:eastAsia="宋体" w:cs="Times New Roman"/>
      <w:sz w:val="21"/>
      <w:lang w:val="en-US" w:eastAsia="zh-CN" w:bidi="ar-SA"/>
    </w:rPr>
  </w:style>
  <w:style w:type="paragraph" w:customStyle="1" w:styleId="86">
    <w:name w:val="纯文本_0_0"/>
    <w:basedOn w:val="84"/>
    <w:unhideWhenUsed/>
    <w:qFormat/>
    <w:uiPriority w:val="0"/>
    <w:rPr>
      <w:rFonts w:ascii="宋体" w:hAnsi="Courier New" w:eastAsiaTheme="minorEastAsia" w:cstheme="minorBidi"/>
      <w:szCs w:val="21"/>
      <w14:ligatures w14:val="standardContextual"/>
    </w:rPr>
  </w:style>
  <w:style w:type="paragraph" w:customStyle="1" w:styleId="87">
    <w:name w:val="正文_12_0"/>
    <w:qFormat/>
    <w:uiPriority w:val="0"/>
    <w:pPr>
      <w:widowControl w:val="0"/>
      <w:jc w:val="both"/>
    </w:pPr>
    <w:rPr>
      <w:rFonts w:ascii="Times New Roman" w:hAnsi="Times New Roman" w:eastAsia="宋体" w:cs="Times New Roman"/>
      <w:sz w:val="21"/>
      <w:szCs w:val="22"/>
      <w:lang w:val="en-US" w:eastAsia="zh-CN" w:bidi="ar-SA"/>
    </w:rPr>
  </w:style>
  <w:style w:type="character" w:customStyle="1" w:styleId="88">
    <w:name w:val="NormalCharacter"/>
    <w:semiHidden/>
    <w:qFormat/>
    <w:uiPriority w:val="0"/>
  </w:style>
  <w:style w:type="paragraph" w:customStyle="1" w:styleId="89">
    <w:name w:val="_Style 1"/>
    <w:basedOn w:val="1"/>
    <w:qFormat/>
    <w:uiPriority w:val="0"/>
    <w:pPr>
      <w:pBdr>
        <w:top w:val="single" w:color="auto" w:sz="6" w:space="1"/>
      </w:pBdr>
      <w:jc w:val="center"/>
    </w:pPr>
    <w:rPr>
      <w:rFonts w:ascii="Arial"/>
      <w:vanish/>
      <w:sz w:val="16"/>
    </w:rPr>
  </w:style>
  <w:style w:type="paragraph" w:customStyle="1" w:styleId="90">
    <w:name w:val="标题 31"/>
    <w:basedOn w:val="1"/>
    <w:next w:val="1"/>
    <w:qFormat/>
    <w:uiPriority w:val="0"/>
    <w:pPr>
      <w:keepNext/>
      <w:keepLines/>
      <w:shd w:val="clear" w:color="auto" w:fill="FFFFFF"/>
      <w:spacing w:line="390" w:lineRule="atLeast"/>
      <w:outlineLvl w:val="2"/>
    </w:pPr>
    <w:rPr>
      <w:rFonts w:ascii="宋体" w:hAnsi="宋体"/>
      <w:b/>
      <w:szCs w:val="21"/>
    </w:rPr>
  </w:style>
  <w:style w:type="paragraph" w:customStyle="1" w:styleId="91">
    <w:name w:val="标题 411"/>
    <w:basedOn w:val="1"/>
    <w:next w:val="1"/>
    <w:qFormat/>
    <w:uiPriority w:val="0"/>
    <w:pPr>
      <w:keepNext/>
      <w:keepLines/>
      <w:spacing w:before="120" w:after="120"/>
      <w:outlineLvl w:val="3"/>
    </w:pPr>
    <w:rPr>
      <w:rFonts w:ascii="Arial" w:hAnsi="Arial" w:eastAsia="黑体"/>
      <w:b/>
      <w:sz w:val="28"/>
    </w:rPr>
  </w:style>
  <w:style w:type="paragraph" w:customStyle="1" w:styleId="92">
    <w:name w:val="Normal1"/>
    <w:basedOn w:val="1"/>
    <w:qFormat/>
    <w:uiPriority w:val="0"/>
    <w:rPr>
      <w:rFonts w:ascii="Calibri" w:hAnsi="Calibri" w:eastAsia="Calibri" w:cs="宋体"/>
      <w:kern w:val="0"/>
      <w:lang w:val="zh-CN"/>
    </w:rPr>
  </w:style>
  <w:style w:type="paragraph" w:customStyle="1" w:styleId="93">
    <w:name w:val="正文文本11"/>
    <w:basedOn w:val="1"/>
    <w:next w:val="1"/>
    <w:qFormat/>
    <w:uiPriority w:val="0"/>
    <w:rPr>
      <w:rFonts w:ascii="楷体_GB2312" w:hAnsi="Arial" w:eastAsia="楷体_GB2312"/>
      <w:sz w:val="28"/>
    </w:rPr>
  </w:style>
  <w:style w:type="paragraph" w:customStyle="1" w:styleId="94">
    <w:name w:val="正文文本1"/>
    <w:basedOn w:val="1"/>
    <w:unhideWhenUsed/>
    <w:qFormat/>
    <w:uiPriority w:val="99"/>
    <w:pPr>
      <w:spacing w:after="120"/>
    </w:pPr>
    <w:rPr>
      <w:sz w:val="24"/>
    </w:rPr>
  </w:style>
  <w:style w:type="paragraph" w:customStyle="1" w:styleId="95">
    <w:name w:val="纯文本11"/>
    <w:basedOn w:val="1"/>
    <w:qFormat/>
    <w:uiPriority w:val="0"/>
    <w:rPr>
      <w:rFonts w:ascii="宋体" w:hAnsi="Courier New" w:cs="Courier New"/>
    </w:rPr>
  </w:style>
  <w:style w:type="table" w:customStyle="1" w:styleId="96">
    <w:name w:val="Table Normal"/>
    <w:semiHidden/>
    <w:unhideWhenUsed/>
    <w:qFormat/>
    <w:uiPriority w:val="0"/>
    <w:rPr>
      <w:rFonts w:ascii="Arial" w:hAnsi="Arial" w:cs="Arial" w:eastAsiaTheme="minorEastAsia"/>
    </w:rPr>
    <w:tblPr>
      <w:tblCellMar>
        <w:top w:w="0" w:type="dxa"/>
        <w:left w:w="0" w:type="dxa"/>
        <w:bottom w:w="0" w:type="dxa"/>
        <w:right w:w="0" w:type="dxa"/>
      </w:tblCellMar>
    </w:tblPr>
  </w:style>
  <w:style w:type="paragraph" w:customStyle="1" w:styleId="97">
    <w:name w:val="Table Text"/>
    <w:basedOn w:val="1"/>
    <w:semiHidden/>
    <w:qFormat/>
    <w:uiPriority w:val="0"/>
    <w:rPr>
      <w:rFonts w:ascii="Arial" w:hAnsi="Arial" w:eastAsia="Arial" w:cs="Arial"/>
      <w:szCs w:val="21"/>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JSJTY</Company>
  <Pages>20</Pages>
  <Words>5871</Words>
  <Characters>6372</Characters>
  <Lines>77</Lines>
  <Paragraphs>21</Paragraphs>
  <TotalTime>3</TotalTime>
  <ScaleCrop>false</ScaleCrop>
  <LinksUpToDate>false</LinksUpToDate>
  <CharactersWithSpaces>6431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2020-07-12T09:38:00Z</dcterms:created>
  <dc:creator>asus</dc:creator>
  <cp:lastModifiedBy>秦婕</cp:lastModifiedBy>
  <cp:lastPrinted>2024-06-04T01:18:00Z</cp:lastPrinted>
  <dcterms:modified xsi:type="dcterms:W3CDTF">2026-09-11T09:13:27Z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EBD4A394DA3C4693BD2F8FBD6E04A777_13</vt:lpwstr>
  </property>
  <property fmtid="{D5CDD505-2E9C-101B-9397-08002B2CF9AE}" pid="4" name="KSOTemplateDocerSaveRecord">
    <vt:lpwstr>eyJoZGlkIjoiNTk4ZWYzMWExNDhkNmJhOWE0YzAyM2NlODk0M2YzNDYiLCJ1c2VySWQiOiIxOTAwMjA0OTk4In0=</vt:lpwstr>
  </property>
</Properties>
</file>